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360" w:lineRule="auto"/>
        <w:jc w:val="left"/>
        <w:rPr>
          <w:rFonts w:hint="eastAsia" w:ascii="黑体" w:hAnsi="黑体" w:eastAsia="黑体"/>
          <w:bCs/>
          <w:kern w:val="0"/>
          <w:szCs w:val="32"/>
          <w:shd w:val="clear" w:color="auto" w:fill="FFFFFF"/>
          <w:lang w:bidi="ar"/>
        </w:rPr>
      </w:pPr>
    </w:p>
    <w:p>
      <w:pPr>
        <w:widowControl/>
        <w:spacing w:line="360" w:lineRule="auto"/>
        <w:jc w:val="left"/>
        <w:rPr>
          <w:rFonts w:ascii="黑体" w:hAnsi="黑体" w:eastAsia="黑体"/>
          <w:bCs/>
          <w:kern w:val="0"/>
          <w:szCs w:val="32"/>
          <w:shd w:val="clear" w:color="auto" w:fill="FFFFFF"/>
          <w:lang w:bidi="ar"/>
        </w:rPr>
      </w:pPr>
      <w:r>
        <w:rPr>
          <w:rFonts w:hint="eastAsia" w:ascii="黑体" w:hAnsi="黑体" w:eastAsia="黑体"/>
          <w:bCs/>
          <w:kern w:val="0"/>
          <w:szCs w:val="32"/>
          <w:shd w:val="clear" w:color="auto" w:fill="FFFFFF"/>
          <w:lang w:bidi="ar"/>
        </w:rPr>
        <w:t>附件2</w:t>
      </w:r>
    </w:p>
    <w:p>
      <w:pPr>
        <w:jc w:val="center"/>
        <w:rPr>
          <w:rFonts w:ascii="华文中宋" w:hAnsi="华文中宋" w:eastAsia="华文中宋"/>
          <w:b/>
          <w:sz w:val="36"/>
          <w:szCs w:val="36"/>
        </w:rPr>
      </w:pPr>
      <w:r>
        <w:rPr>
          <w:rFonts w:hint="eastAsia" w:ascii="华文中宋" w:hAnsi="华文中宋" w:eastAsia="华文中宋"/>
          <w:b/>
          <w:sz w:val="44"/>
          <w:szCs w:val="44"/>
        </w:rPr>
        <w:t>职业卫生技术服务机构资质认可技术评审准则</w:t>
      </w:r>
    </w:p>
    <w:tbl>
      <w:tblPr>
        <w:tblStyle w:val="11"/>
        <w:tblW w:w="152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50"/>
        <w:gridCol w:w="584"/>
        <w:gridCol w:w="554"/>
        <w:gridCol w:w="1193"/>
        <w:gridCol w:w="1227"/>
        <w:gridCol w:w="5641"/>
        <w:gridCol w:w="834"/>
        <w:gridCol w:w="1005"/>
        <w:gridCol w:w="1017"/>
        <w:gridCol w:w="2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5" w:hRule="atLeast"/>
          <w:tblHeader/>
          <w:jc w:val="center"/>
        </w:trPr>
        <w:tc>
          <w:tcPr>
            <w:tcW w:w="450" w:type="dxa"/>
            <w:vMerge w:val="restart"/>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b/>
                <w:kern w:val="0"/>
                <w:sz w:val="21"/>
                <w:szCs w:val="21"/>
              </w:rPr>
            </w:pPr>
            <w:r>
              <w:rPr>
                <w:rFonts w:hint="eastAsia" w:ascii="仿宋_GB2312" w:hAnsi="仿宋_GB2312" w:cs="仿宋_GB2312"/>
                <w:b/>
                <w:kern w:val="0"/>
                <w:sz w:val="21"/>
                <w:szCs w:val="21"/>
              </w:rPr>
              <w:t>评审</w:t>
            </w:r>
          </w:p>
          <w:p>
            <w:pPr>
              <w:widowControl/>
              <w:adjustRightInd w:val="0"/>
              <w:snapToGrid w:val="0"/>
              <w:spacing w:line="264"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rPr>
              <w:t>要素</w:t>
            </w:r>
          </w:p>
        </w:tc>
        <w:tc>
          <w:tcPr>
            <w:tcW w:w="584" w:type="dxa"/>
            <w:vMerge w:val="restart"/>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b/>
                <w:kern w:val="0"/>
                <w:sz w:val="21"/>
                <w:szCs w:val="21"/>
              </w:rPr>
            </w:pPr>
            <w:r>
              <w:rPr>
                <w:rFonts w:hint="eastAsia" w:ascii="仿宋_GB2312" w:hAnsi="仿宋_GB2312" w:cs="仿宋_GB2312"/>
                <w:b/>
                <w:kern w:val="0"/>
                <w:sz w:val="21"/>
                <w:szCs w:val="21"/>
              </w:rPr>
              <w:t>评审</w:t>
            </w:r>
          </w:p>
          <w:p>
            <w:pPr>
              <w:widowControl/>
              <w:adjustRightInd w:val="0"/>
              <w:snapToGrid w:val="0"/>
              <w:spacing w:line="264"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rPr>
              <w:t>项目</w:t>
            </w:r>
          </w:p>
        </w:tc>
        <w:tc>
          <w:tcPr>
            <w:tcW w:w="2974" w:type="dxa"/>
            <w:gridSpan w:val="3"/>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rPr>
              <w:t>评审内容</w:t>
            </w:r>
          </w:p>
        </w:tc>
        <w:tc>
          <w:tcPr>
            <w:tcW w:w="5641" w:type="dxa"/>
            <w:vMerge w:val="restart"/>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rPr>
              <w:t>评审</w:t>
            </w:r>
            <w:r>
              <w:rPr>
                <w:rFonts w:hint="eastAsia" w:ascii="仿宋_GB2312" w:hAnsi="仿宋_GB2312" w:cs="仿宋_GB2312"/>
                <w:b/>
                <w:sz w:val="21"/>
                <w:szCs w:val="21"/>
              </w:rPr>
              <w:t>方法及要求</w:t>
            </w:r>
          </w:p>
        </w:tc>
        <w:tc>
          <w:tcPr>
            <w:tcW w:w="2856" w:type="dxa"/>
            <w:gridSpan w:val="3"/>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b/>
                <w:kern w:val="0"/>
                <w:sz w:val="21"/>
                <w:szCs w:val="21"/>
              </w:rPr>
            </w:pPr>
            <w:r>
              <w:rPr>
                <w:rFonts w:hint="eastAsia" w:ascii="仿宋_GB2312" w:hAnsi="仿宋_GB2312" w:cs="仿宋_GB2312"/>
                <w:b/>
                <w:kern w:val="0"/>
                <w:sz w:val="21"/>
                <w:szCs w:val="21"/>
                <w:lang w:bidi="ar"/>
              </w:rPr>
              <w:t>判断依据</w:t>
            </w:r>
          </w:p>
        </w:tc>
        <w:tc>
          <w:tcPr>
            <w:tcW w:w="2734" w:type="dxa"/>
            <w:vMerge w:val="restart"/>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b/>
                <w:kern w:val="0"/>
                <w:sz w:val="21"/>
                <w:szCs w:val="21"/>
              </w:rPr>
            </w:pPr>
            <w:r>
              <w:rPr>
                <w:rFonts w:hint="eastAsia" w:ascii="仿宋_GB2312" w:hAnsi="仿宋_GB2312" w:cs="仿宋_GB2312"/>
                <w:b/>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blHeader/>
          <w:jc w:val="center"/>
        </w:trPr>
        <w:tc>
          <w:tcPr>
            <w:tcW w:w="450" w:type="dxa"/>
            <w:vMerge w:val="continue"/>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b/>
                <w:sz w:val="21"/>
                <w:szCs w:val="21"/>
              </w:rPr>
            </w:pPr>
          </w:p>
        </w:tc>
        <w:tc>
          <w:tcPr>
            <w:tcW w:w="584" w:type="dxa"/>
            <w:vMerge w:val="continue"/>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b/>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rPr>
              <w:t>序号</w:t>
            </w:r>
          </w:p>
        </w:tc>
        <w:tc>
          <w:tcPr>
            <w:tcW w:w="1193"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rPr>
              <w:t>甲级</w:t>
            </w:r>
          </w:p>
        </w:tc>
        <w:tc>
          <w:tcPr>
            <w:tcW w:w="1227" w:type="dxa"/>
            <w:noWrap w:val="0"/>
            <w:tcMar>
              <w:top w:w="15" w:type="dxa"/>
              <w:left w:w="15" w:type="dxa"/>
              <w:right w:w="15" w:type="dxa"/>
            </w:tcMar>
            <w:vAlign w:val="center"/>
          </w:tcPr>
          <w:p>
            <w:pPr>
              <w:adjustRightInd w:val="0"/>
              <w:snapToGrid w:val="0"/>
              <w:spacing w:line="264"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lang w:bidi="ar"/>
              </w:rPr>
              <w:t>乙级</w:t>
            </w:r>
          </w:p>
        </w:tc>
        <w:tc>
          <w:tcPr>
            <w:tcW w:w="5641" w:type="dxa"/>
            <w:vMerge w:val="continue"/>
            <w:noWrap w:val="0"/>
            <w:tcMar>
              <w:top w:w="15" w:type="dxa"/>
              <w:left w:w="15" w:type="dxa"/>
              <w:right w:w="15" w:type="dxa"/>
            </w:tcMar>
            <w:vAlign w:val="center"/>
          </w:tcPr>
          <w:p>
            <w:pPr>
              <w:adjustRightInd w:val="0"/>
              <w:snapToGrid w:val="0"/>
              <w:spacing w:line="264" w:lineRule="exact"/>
              <w:jc w:val="center"/>
              <w:textAlignment w:val="center"/>
              <w:rPr>
                <w:rFonts w:hint="eastAsia" w:ascii="仿宋_GB2312" w:hAnsi="仿宋_GB2312" w:cs="仿宋_GB2312"/>
                <w:b/>
                <w:sz w:val="21"/>
                <w:szCs w:val="21"/>
              </w:rPr>
            </w:pPr>
          </w:p>
        </w:tc>
        <w:tc>
          <w:tcPr>
            <w:tcW w:w="834" w:type="dxa"/>
            <w:noWrap w:val="0"/>
            <w:tcMar>
              <w:top w:w="15" w:type="dxa"/>
              <w:left w:w="15" w:type="dxa"/>
              <w:right w:w="15" w:type="dxa"/>
            </w:tcMar>
            <w:vAlign w:val="center"/>
          </w:tcPr>
          <w:p>
            <w:pPr>
              <w:adjustRightInd w:val="0"/>
              <w:snapToGrid w:val="0"/>
              <w:spacing w:line="264"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lang w:bidi="ar"/>
              </w:rPr>
              <w:t>符合</w:t>
            </w:r>
          </w:p>
        </w:tc>
        <w:tc>
          <w:tcPr>
            <w:tcW w:w="1005" w:type="dxa"/>
            <w:noWrap w:val="0"/>
            <w:tcMar>
              <w:top w:w="15" w:type="dxa"/>
              <w:left w:w="15" w:type="dxa"/>
              <w:right w:w="15" w:type="dxa"/>
            </w:tcMar>
            <w:vAlign w:val="center"/>
          </w:tcPr>
          <w:p>
            <w:pPr>
              <w:adjustRightInd w:val="0"/>
              <w:snapToGrid w:val="0"/>
              <w:spacing w:line="264"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lang w:bidi="ar"/>
              </w:rPr>
              <w:t>基本符合</w:t>
            </w:r>
          </w:p>
        </w:tc>
        <w:tc>
          <w:tcPr>
            <w:tcW w:w="1017" w:type="dxa"/>
            <w:noWrap w:val="0"/>
            <w:tcMar>
              <w:top w:w="15" w:type="dxa"/>
              <w:left w:w="15" w:type="dxa"/>
              <w:right w:w="15" w:type="dxa"/>
            </w:tcMar>
            <w:vAlign w:val="center"/>
          </w:tcPr>
          <w:p>
            <w:pPr>
              <w:adjustRightInd w:val="0"/>
              <w:snapToGrid w:val="0"/>
              <w:spacing w:line="264"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lang w:bidi="ar"/>
              </w:rPr>
              <w:t>不符合</w:t>
            </w:r>
          </w:p>
        </w:tc>
        <w:tc>
          <w:tcPr>
            <w:tcW w:w="2734" w:type="dxa"/>
            <w:vMerge w:val="continue"/>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restart"/>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1．组织机构</w:t>
            </w:r>
          </w:p>
        </w:tc>
        <w:tc>
          <w:tcPr>
            <w:tcW w:w="58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法人资格</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1</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★能够独立承担民事责任。</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核查申请单位有关法人资格证明材料原件，要求：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1.事业单位，具有“事业单位法人证书”或“组织机构代码证”、“统一社会信用代码证”等证书；</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2.企业，具有“营业执照”或“统一社会信用代码证”等证书；</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3.其他类型的单位，具有社会团体法人登记证书、民办非企业单位登记证书或其他依法成立的批准文件等。</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材料齐全、合法有效。</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材料不全或无效。</w:t>
            </w:r>
          </w:p>
        </w:tc>
        <w:tc>
          <w:tcPr>
            <w:tcW w:w="27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sz w:val="21"/>
                <w:szCs w:val="21"/>
              </w:rPr>
              <w:t>1.根据申请单位类型，核查相应的法人资格证明材料。</w:t>
            </w:r>
          </w:p>
          <w:p>
            <w:pPr>
              <w:adjustRightInd w:val="0"/>
              <w:snapToGrid w:val="0"/>
              <w:spacing w:line="264" w:lineRule="exact"/>
              <w:rPr>
                <w:rFonts w:ascii="Calibri" w:hAnsi="Calibri"/>
                <w:sz w:val="21"/>
              </w:rPr>
            </w:pPr>
            <w:r>
              <w:rPr>
                <w:rFonts w:hint="eastAsia" w:ascii="仿宋_GB2312" w:hAnsi="仿宋_GB2312" w:cs="仿宋_GB2312"/>
                <w:sz w:val="21"/>
                <w:szCs w:val="21"/>
              </w:rPr>
              <w:t>2.技术评审审查的证书、证明、文件、材料均应满足合法、有效的要求。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restart"/>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部门设置</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2</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设置职业卫生检测部门。</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核查申请单位的部门设置和人员任命等文件材料，要求：</w:t>
            </w:r>
          </w:p>
          <w:p>
            <w:pPr>
              <w:adjustRightInd w:val="0"/>
              <w:snapToGrid w:val="0"/>
              <w:spacing w:line="264" w:lineRule="exact"/>
              <w:jc w:val="left"/>
              <w:rPr>
                <w:rFonts w:hint="eastAsia" w:ascii="仿宋_GB2312" w:hAnsi="仿宋_GB2312" w:cs="仿宋_GB2312"/>
                <w:bCs/>
                <w:sz w:val="21"/>
                <w:szCs w:val="21"/>
                <w:lang w:val="zh-CN"/>
              </w:rPr>
            </w:pPr>
            <w:r>
              <w:rPr>
                <w:rFonts w:hint="eastAsia" w:ascii="仿宋_GB2312" w:hAnsi="仿宋_GB2312" w:cs="仿宋_GB2312"/>
                <w:bCs/>
                <w:sz w:val="21"/>
                <w:szCs w:val="21"/>
              </w:rPr>
              <w:t>1.设置职业卫生检测部门，并规定了</w:t>
            </w:r>
            <w:r>
              <w:rPr>
                <w:rFonts w:hint="eastAsia" w:ascii="仿宋_GB2312" w:hAnsi="仿宋_GB2312" w:cs="仿宋_GB2312"/>
                <w:kern w:val="0"/>
                <w:sz w:val="21"/>
                <w:szCs w:val="21"/>
              </w:rPr>
              <w:t>部门</w:t>
            </w:r>
            <w:r>
              <w:rPr>
                <w:rFonts w:hint="eastAsia" w:ascii="仿宋_GB2312" w:hAnsi="仿宋_GB2312" w:cs="仿宋_GB2312"/>
                <w:bCs/>
                <w:sz w:val="21"/>
                <w:szCs w:val="21"/>
              </w:rPr>
              <w:t>职责</w:t>
            </w:r>
            <w:r>
              <w:rPr>
                <w:rFonts w:hint="eastAsia" w:ascii="仿宋_GB2312" w:hAnsi="仿宋_GB2312" w:cs="仿宋_GB2312"/>
                <w:bCs/>
                <w:sz w:val="21"/>
                <w:szCs w:val="21"/>
                <w:lang w:val="zh-CN"/>
              </w:rPr>
              <w:t>；</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2.有职业卫生检测部门负责人任命文件。</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ascii="仿宋_GB2312" w:hAnsi="仿宋_GB2312" w:cs="仿宋_GB2312"/>
                <w:sz w:val="21"/>
                <w:szCs w:val="21"/>
              </w:rPr>
            </w:pPr>
            <w:r>
              <w:rPr>
                <w:rFonts w:hint="eastAsia" w:ascii="仿宋_GB2312" w:hAnsi="仿宋_GB2312" w:cs="仿宋_GB2312"/>
                <w:sz w:val="21"/>
                <w:szCs w:val="21"/>
              </w:rPr>
              <w:t>以上包括本数，下同。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设置职业卫生评价部门。</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核查申请单位的部门设置和人员任命等文件材料，要求：</w:t>
            </w:r>
          </w:p>
          <w:p>
            <w:pPr>
              <w:adjustRightInd w:val="0"/>
              <w:snapToGrid w:val="0"/>
              <w:spacing w:line="264" w:lineRule="exact"/>
              <w:jc w:val="left"/>
              <w:rPr>
                <w:rFonts w:hint="eastAsia" w:ascii="仿宋_GB2312" w:hAnsi="仿宋_GB2312" w:cs="仿宋_GB2312"/>
                <w:bCs/>
                <w:sz w:val="21"/>
                <w:szCs w:val="21"/>
                <w:lang w:val="zh-CN"/>
              </w:rPr>
            </w:pPr>
            <w:r>
              <w:rPr>
                <w:rFonts w:hint="eastAsia" w:ascii="仿宋_GB2312" w:hAnsi="仿宋_GB2312" w:cs="仿宋_GB2312"/>
                <w:bCs/>
                <w:sz w:val="21"/>
                <w:szCs w:val="21"/>
              </w:rPr>
              <w:t>1.设置职业卫生评价部门，并规定了部门职责</w:t>
            </w:r>
            <w:r>
              <w:rPr>
                <w:rFonts w:hint="eastAsia" w:ascii="仿宋_GB2312" w:hAnsi="仿宋_GB2312" w:cs="仿宋_GB2312"/>
                <w:bCs/>
                <w:sz w:val="21"/>
                <w:szCs w:val="21"/>
                <w:lang w:val="zh-CN"/>
              </w:rPr>
              <w:t>；</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2.有职业卫生评价部门负责人任命文件。</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设置质量管理部门。</w:t>
            </w:r>
          </w:p>
        </w:tc>
        <w:tc>
          <w:tcPr>
            <w:tcW w:w="5641"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核查申请单位的部门设置和人员任命等文件材料，要求：</w:t>
            </w:r>
          </w:p>
          <w:p>
            <w:pPr>
              <w:numPr>
                <w:ilvl w:val="0"/>
                <w:numId w:val="1"/>
              </w:num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设置独立的质量管理部门，并规定了</w:t>
            </w:r>
            <w:r>
              <w:rPr>
                <w:rFonts w:hint="eastAsia" w:ascii="仿宋_GB2312" w:hAnsi="仿宋_GB2312" w:cs="仿宋_GB2312"/>
                <w:kern w:val="0"/>
                <w:sz w:val="21"/>
                <w:szCs w:val="21"/>
              </w:rPr>
              <w:t>部门</w:t>
            </w:r>
            <w:r>
              <w:rPr>
                <w:rFonts w:hint="eastAsia" w:ascii="仿宋_GB2312" w:hAnsi="仿宋_GB2312" w:cs="仿宋_GB2312"/>
                <w:bCs/>
                <w:sz w:val="21"/>
                <w:szCs w:val="21"/>
              </w:rPr>
              <w:t>职责；</w:t>
            </w:r>
          </w:p>
          <w:p>
            <w:pPr>
              <w:numPr>
                <w:ilvl w:val="0"/>
                <w:numId w:val="1"/>
              </w:num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有质量管理部门负责人任命文件；</w:t>
            </w:r>
          </w:p>
          <w:p>
            <w:pPr>
              <w:numPr>
                <w:ilvl w:val="0"/>
                <w:numId w:val="1"/>
              </w:num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质量管理部门应负责</w:t>
            </w:r>
            <w:r>
              <w:rPr>
                <w:rFonts w:hint="eastAsia" w:ascii="仿宋_GB2312" w:hAnsi="仿宋_GB2312" w:cs="仿宋_GB2312"/>
                <w:bCs/>
                <w:sz w:val="21"/>
                <w:szCs w:val="21"/>
                <w:lang w:val="zh-CN"/>
              </w:rPr>
              <w:t>质量管理体系的</w:t>
            </w:r>
            <w:r>
              <w:rPr>
                <w:rFonts w:hint="eastAsia" w:ascii="仿宋_GB2312" w:hAnsi="仿宋_GB2312" w:cs="仿宋_GB2312"/>
                <w:bCs/>
                <w:sz w:val="21"/>
                <w:szCs w:val="21"/>
              </w:rPr>
              <w:t>建立、实施和维护，并对技术服务全过程进行质量</w:t>
            </w:r>
            <w:r>
              <w:rPr>
                <w:rFonts w:hint="eastAsia" w:ascii="仿宋_GB2312" w:hAnsi="仿宋_GB2312" w:cs="仿宋_GB2312"/>
                <w:bCs/>
                <w:sz w:val="21"/>
                <w:szCs w:val="21"/>
                <w:lang w:val="zh-CN"/>
              </w:rPr>
              <w:t>监督</w:t>
            </w:r>
            <w:r>
              <w:rPr>
                <w:rFonts w:hint="eastAsia" w:ascii="仿宋_GB2312" w:hAnsi="仿宋_GB2312" w:cs="仿宋_GB2312"/>
                <w:bCs/>
                <w:sz w:val="21"/>
                <w:szCs w:val="21"/>
              </w:rPr>
              <w:t>管理</w:t>
            </w:r>
            <w:r>
              <w:rPr>
                <w:rFonts w:hint="eastAsia" w:ascii="仿宋_GB2312" w:hAnsi="仿宋_GB2312" w:cs="仿宋_GB2312"/>
                <w:bCs/>
                <w:sz w:val="21"/>
                <w:szCs w:val="21"/>
                <w:lang w:val="zh-CN"/>
              </w:rPr>
              <w:t>。</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关键岗位工作经历</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5</w:t>
            </w:r>
          </w:p>
        </w:tc>
        <w:tc>
          <w:tcPr>
            <w:tcW w:w="1193"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★机构主要负责人和关键岗位负责人应当具有从事职业卫生技术服务工作五年以上工作经历。</w:t>
            </w:r>
          </w:p>
        </w:tc>
        <w:tc>
          <w:tcPr>
            <w:tcW w:w="1227"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5641"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核查申请单位主要负责人和关键岗位负责人的技术服务经历材料，要求：</w:t>
            </w:r>
          </w:p>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bCs/>
                <w:sz w:val="21"/>
                <w:szCs w:val="21"/>
              </w:rPr>
              <w:t>1</w:t>
            </w:r>
            <w:r>
              <w:rPr>
                <w:rFonts w:hint="eastAsia" w:ascii="仿宋_GB2312" w:hAnsi="仿宋_GB2312" w:cs="仿宋_GB2312"/>
                <w:kern w:val="0"/>
                <w:sz w:val="21"/>
                <w:szCs w:val="21"/>
              </w:rPr>
              <w:t>.任命或聘任文件、劳动合同或其他在职证明、社保或公积金缴存证明等材料，能够证明主要负责人、关键岗位负责人在职业卫生技术服务机构工作时间五年以上。</w:t>
            </w:r>
          </w:p>
          <w:p>
            <w:pPr>
              <w:widowControl/>
              <w:adjustRightInd w:val="0"/>
              <w:snapToGrid w:val="0"/>
              <w:spacing w:line="264"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rPr>
              <w:t>2.职业卫生技术服务报告的签字等材料，能证明主要负责人、关键岗位负责人从事职业卫生技术服务工作时间在五年以上。</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sz w:val="21"/>
                <w:szCs w:val="21"/>
              </w:rPr>
              <w:t>1.主要负责人一般是指法定代表人（执行董事或董事长）、总经理等；</w:t>
            </w:r>
          </w:p>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sz w:val="21"/>
                <w:szCs w:val="21"/>
              </w:rPr>
              <w:t>2.关键岗位负责人包括质量控制负责人、技术负责人（检测、评价）和授权签字人。</w:t>
            </w:r>
          </w:p>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sz w:val="21"/>
                <w:szCs w:val="21"/>
              </w:rPr>
              <w:t>3.资质变更、增加业务范围和资质延续，对主要负责人的工作经历不做要求。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信息网站建设</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6</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★建立正常运行并可以供公众查询机构信息的网站。</w:t>
            </w:r>
          </w:p>
        </w:tc>
        <w:tc>
          <w:tcPr>
            <w:tcW w:w="5641" w:type="dxa"/>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核查机构网站和公开内容情况，要求建立了正常运行并可以供公众查询信息的网站。</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bCs/>
                <w:sz w:val="21"/>
                <w:szCs w:val="21"/>
              </w:rPr>
            </w:pPr>
            <w:r>
              <w:rPr>
                <w:rFonts w:hint="eastAsia" w:ascii="仿宋_GB2312" w:hAnsi="仿宋_GB2312" w:cs="仿宋_GB2312"/>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依法执业</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7</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★截至申请之日五年内无严重违法失信记录。</w:t>
            </w:r>
          </w:p>
        </w:tc>
        <w:tc>
          <w:tcPr>
            <w:tcW w:w="5641" w:type="dxa"/>
            <w:noWrap w:val="0"/>
            <w:tcMar>
              <w:top w:w="15" w:type="dxa"/>
              <w:left w:w="15" w:type="dxa"/>
              <w:right w:w="15" w:type="dxa"/>
            </w:tcMar>
            <w:vAlign w:val="center"/>
          </w:tcPr>
          <w:p>
            <w:pPr>
              <w:numPr>
                <w:ilvl w:val="0"/>
                <w:numId w:val="0"/>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通过网络查询或征询注册所在地</w:t>
            </w:r>
            <w:r>
              <w:rPr>
                <w:rFonts w:hint="eastAsia" w:ascii="仿宋_GB2312" w:hAnsi="仿宋_GB2312" w:cs="仿宋_GB2312"/>
                <w:bCs/>
                <w:sz w:val="21"/>
                <w:szCs w:val="21"/>
                <w:lang w:eastAsia="zh-CN"/>
              </w:rPr>
              <w:t>卫生健康行政部门</w:t>
            </w:r>
            <w:r>
              <w:rPr>
                <w:rFonts w:hint="eastAsia" w:ascii="仿宋_GB2312" w:hAnsi="仿宋_GB2312" w:cs="仿宋_GB2312"/>
                <w:bCs/>
                <w:sz w:val="21"/>
                <w:szCs w:val="21"/>
              </w:rPr>
              <w:t>等方式核查申请单位在截</w:t>
            </w:r>
            <w:r>
              <w:rPr>
                <w:rFonts w:hint="eastAsia" w:ascii="仿宋_GB2312" w:hAnsi="仿宋_GB2312" w:cs="仿宋_GB2312"/>
                <w:bCs/>
                <w:sz w:val="21"/>
                <w:szCs w:val="21"/>
                <w:lang w:val="en-US" w:eastAsia="zh-CN"/>
              </w:rPr>
              <w:t>至</w:t>
            </w:r>
            <w:r>
              <w:rPr>
                <w:rFonts w:hint="eastAsia" w:ascii="仿宋_GB2312" w:hAnsi="仿宋_GB2312" w:cs="仿宋_GB2312"/>
                <w:bCs/>
                <w:sz w:val="21"/>
                <w:szCs w:val="21"/>
              </w:rPr>
              <w:t>申请之日五年内是否存在严重违法失信记录，要求：</w:t>
            </w:r>
          </w:p>
          <w:p>
            <w:pPr>
              <w:widowControl/>
              <w:numPr>
                <w:ilvl w:val="0"/>
                <w:numId w:val="0"/>
              </w:numPr>
              <w:adjustRightInd w:val="0"/>
              <w:snapToGrid w:val="0"/>
              <w:spacing w:line="264" w:lineRule="exact"/>
              <w:jc w:val="left"/>
              <w:rPr>
                <w:rFonts w:hint="eastAsia" w:ascii="仿宋_GB2312" w:hAnsi="仿宋_GB2312" w:eastAsia="仿宋_GB2312" w:cs="仿宋_GB2312"/>
                <w:bCs/>
                <w:sz w:val="21"/>
                <w:szCs w:val="21"/>
                <w:lang w:eastAsia="zh-CN"/>
              </w:rPr>
            </w:pPr>
            <w:r>
              <w:rPr>
                <w:rFonts w:hint="eastAsia" w:ascii="仿宋_GB2312" w:hAnsi="仿宋_GB2312" w:cs="仿宋_GB2312"/>
                <w:bCs/>
                <w:sz w:val="21"/>
                <w:szCs w:val="21"/>
              </w:rPr>
              <w:t>不存在被</w:t>
            </w:r>
            <w:r>
              <w:rPr>
                <w:rFonts w:hint="eastAsia" w:ascii="仿宋_GB2312" w:hAnsi="仿宋_GB2312" w:cs="仿宋_GB2312"/>
                <w:bCs/>
                <w:sz w:val="21"/>
                <w:szCs w:val="21"/>
                <w:lang w:eastAsia="zh-CN"/>
              </w:rPr>
              <w:t>取消（或吊销）</w:t>
            </w:r>
            <w:r>
              <w:rPr>
                <w:rFonts w:hint="eastAsia" w:ascii="仿宋_GB2312" w:hAnsi="仿宋_GB2312" w:cs="仿宋_GB2312"/>
                <w:bCs/>
                <w:sz w:val="21"/>
                <w:szCs w:val="21"/>
              </w:rPr>
              <w:t>职业卫生技术服务机构资质或被追究刑事责任的情况</w:t>
            </w:r>
            <w:r>
              <w:rPr>
                <w:rFonts w:hint="eastAsia" w:ascii="仿宋_GB2312" w:hAnsi="仿宋_GB2312" w:cs="仿宋_GB2312"/>
                <w:bCs/>
                <w:sz w:val="21"/>
                <w:szCs w:val="21"/>
                <w:lang w:eastAsia="zh-CN"/>
              </w:rPr>
              <w:t>。</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50" w:type="dxa"/>
            <w:vMerge w:val="restart"/>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2．人员</w:t>
            </w:r>
          </w:p>
        </w:tc>
        <w:tc>
          <w:tcPr>
            <w:tcW w:w="584" w:type="dxa"/>
            <w:vMerge w:val="restart"/>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专业技术人员结构</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8</w:t>
            </w:r>
          </w:p>
        </w:tc>
        <w:tc>
          <w:tcPr>
            <w:tcW w:w="1193"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★专业技术人员不少于三十名，且</w:t>
            </w:r>
            <w:r>
              <w:rPr>
                <w:rFonts w:hint="eastAsia" w:ascii="仿宋_GB2312" w:hAnsi="仿宋_GB2312" w:cs="仿宋_GB2312"/>
                <w:bCs/>
                <w:sz w:val="21"/>
                <w:szCs w:val="21"/>
                <w:lang w:bidi="ar"/>
              </w:rPr>
              <w:t>达到考核评估合格要求</w:t>
            </w:r>
            <w:r>
              <w:rPr>
                <w:rFonts w:hint="eastAsia" w:ascii="仿宋_GB2312" w:hAnsi="仿宋_GB2312" w:cs="仿宋_GB2312"/>
                <w:kern w:val="0"/>
                <w:sz w:val="21"/>
                <w:szCs w:val="21"/>
              </w:rPr>
              <w:t>。</w:t>
            </w:r>
          </w:p>
        </w:tc>
        <w:tc>
          <w:tcPr>
            <w:tcW w:w="1227"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★专业技术人员不少于十五名，且</w:t>
            </w:r>
            <w:r>
              <w:rPr>
                <w:rFonts w:hint="eastAsia" w:ascii="仿宋_GB2312" w:hAnsi="仿宋_GB2312" w:cs="仿宋_GB2312"/>
                <w:bCs/>
                <w:sz w:val="21"/>
                <w:szCs w:val="21"/>
                <w:lang w:bidi="ar"/>
              </w:rPr>
              <w:t>达到考核评估合格要求</w:t>
            </w:r>
            <w:r>
              <w:rPr>
                <w:rFonts w:hint="eastAsia" w:ascii="仿宋_GB2312" w:hAnsi="仿宋_GB2312" w:cs="仿宋_GB2312"/>
                <w:kern w:val="0"/>
                <w:sz w:val="21"/>
                <w:szCs w:val="21"/>
              </w:rPr>
              <w:t>。</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对专业技术人员进行书面闭卷考试，60分以上为合格，考核评估合格的专业技术人员数量应满足要求。</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bCs/>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不符合要求。</w:t>
            </w:r>
          </w:p>
        </w:tc>
        <w:tc>
          <w:tcPr>
            <w:tcW w:w="2734" w:type="dxa"/>
            <w:noWrap w:val="0"/>
            <w:tcMar>
              <w:top w:w="15" w:type="dxa"/>
              <w:left w:w="15" w:type="dxa"/>
              <w:right w:w="15" w:type="dxa"/>
            </w:tcMar>
            <w:vAlign w:val="center"/>
          </w:tcPr>
          <w:p>
            <w:pPr>
              <w:tabs>
                <w:tab w:val="left" w:pos="400"/>
              </w:tabs>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1.考核人员范围：质量控制负责人、技术负责人、授权签字人、职业卫生检测与评价人员、放射卫生检测与评价人员等专业技术人员。</w:t>
            </w:r>
          </w:p>
          <w:p>
            <w:pPr>
              <w:tabs>
                <w:tab w:val="left" w:pos="400"/>
              </w:tabs>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2.申请甲级资质的，2017年12月31日前已取得原国家安全监管总局指定机构颁发的培训合格证书，免于能力考核评估或取得全国卫生专业技术资格考试合格证书（理化检验技术中级，代码383）的专业技术人员，免于能力考核评估。</w:t>
            </w:r>
          </w:p>
          <w:p>
            <w:pPr>
              <w:tabs>
                <w:tab w:val="left" w:pos="400"/>
              </w:tabs>
              <w:adjustRightInd w:val="0"/>
              <w:snapToGrid w:val="0"/>
              <w:spacing w:line="264" w:lineRule="exact"/>
              <w:jc w:val="left"/>
              <w:rPr>
                <w:rFonts w:ascii="仿宋_GB2312" w:hAnsi="仿宋_GB2312" w:cs="仿宋_GB2312"/>
                <w:sz w:val="21"/>
                <w:szCs w:val="21"/>
              </w:rPr>
            </w:pPr>
            <w:r>
              <w:rPr>
                <w:rFonts w:hint="eastAsia" w:ascii="仿宋_GB2312" w:hAnsi="仿宋_GB2312" w:cs="仿宋_GB2312"/>
                <w:kern w:val="0"/>
                <w:sz w:val="21"/>
                <w:szCs w:val="21"/>
              </w:rPr>
              <w:t>3.申请乙级资质的,2017年12月31日前已取得原省级以上安全监管部门指定机构颁发的培训合格证书，免于能力考核评估或取得全国卫生专业技术资格考试合格证书（理化检验技术中级，代码383）的专业技术人员，免于能力考核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9</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专业技术人员为申请单位专职人员。</w:t>
            </w:r>
          </w:p>
        </w:tc>
        <w:tc>
          <w:tcPr>
            <w:tcW w:w="5641" w:type="dxa"/>
            <w:noWrap w:val="0"/>
            <w:tcMar>
              <w:top w:w="15" w:type="dxa"/>
              <w:left w:w="15" w:type="dxa"/>
              <w:right w:w="15" w:type="dxa"/>
            </w:tcMar>
            <w:vAlign w:val="center"/>
          </w:tcPr>
          <w:p>
            <w:pPr>
              <w:tabs>
                <w:tab w:val="left" w:pos="400"/>
              </w:tabs>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核查身份证、劳动合同</w:t>
            </w:r>
            <w:r>
              <w:rPr>
                <w:rFonts w:hint="eastAsia" w:ascii="仿宋_GB2312" w:hAnsi="仿宋_GB2312" w:cs="仿宋_GB2312"/>
                <w:bCs/>
                <w:sz w:val="21"/>
                <w:szCs w:val="21"/>
              </w:rPr>
              <w:t>或其他在职证明</w:t>
            </w:r>
            <w:r>
              <w:rPr>
                <w:rFonts w:hint="eastAsia" w:ascii="仿宋_GB2312" w:hAnsi="仿宋_GB2312" w:cs="仿宋_GB2312"/>
                <w:kern w:val="0"/>
                <w:sz w:val="21"/>
                <w:szCs w:val="21"/>
              </w:rPr>
              <w:t>，社保或公积金缴存证明材料，要求：</w:t>
            </w:r>
          </w:p>
          <w:p>
            <w:pPr>
              <w:tabs>
                <w:tab w:val="left" w:pos="400"/>
              </w:tabs>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1.提供劳动合同</w:t>
            </w:r>
            <w:r>
              <w:rPr>
                <w:rFonts w:hint="eastAsia" w:ascii="仿宋_GB2312" w:hAnsi="仿宋_GB2312" w:cs="仿宋_GB2312"/>
                <w:bCs/>
                <w:sz w:val="21"/>
                <w:szCs w:val="21"/>
              </w:rPr>
              <w:t>或其他在职证明</w:t>
            </w:r>
            <w:r>
              <w:rPr>
                <w:rFonts w:hint="eastAsia" w:ascii="仿宋_GB2312" w:hAnsi="仿宋_GB2312" w:cs="仿宋_GB2312"/>
                <w:kern w:val="0"/>
                <w:sz w:val="21"/>
                <w:szCs w:val="21"/>
              </w:rPr>
              <w:t>；</w:t>
            </w:r>
          </w:p>
          <w:p>
            <w:pPr>
              <w:tabs>
                <w:tab w:val="left" w:pos="400"/>
              </w:tabs>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kern w:val="0"/>
                <w:sz w:val="21"/>
                <w:szCs w:val="21"/>
              </w:rPr>
              <w:t>2.提供社保、公积金缴</w:t>
            </w:r>
            <w:r>
              <w:rPr>
                <w:rFonts w:hint="eastAsia" w:ascii="仿宋_GB2312" w:hAnsi="仿宋_GB2312" w:cs="仿宋_GB2312"/>
                <w:kern w:val="0"/>
                <w:sz w:val="21"/>
                <w:szCs w:val="21"/>
                <w:lang w:val="en-US" w:eastAsia="zh-CN"/>
              </w:rPr>
              <w:t>存</w:t>
            </w:r>
            <w:r>
              <w:rPr>
                <w:rFonts w:hint="eastAsia" w:ascii="仿宋_GB2312" w:hAnsi="仿宋_GB2312" w:cs="仿宋_GB2312"/>
                <w:kern w:val="0"/>
                <w:sz w:val="21"/>
                <w:szCs w:val="21"/>
              </w:rPr>
              <w:t>等证明材料（提供至少一种）。</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bCs/>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tabs>
                <w:tab w:val="left" w:pos="400"/>
              </w:tabs>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10</w:t>
            </w:r>
          </w:p>
        </w:tc>
        <w:tc>
          <w:tcPr>
            <w:tcW w:w="1193"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高级专业技术职称或同等能力专业技术人员不少于五名。</w:t>
            </w:r>
          </w:p>
        </w:tc>
        <w:tc>
          <w:tcPr>
            <w:tcW w:w="1227"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高级专业技术职称或同等能力专业技术人员不少于三名。</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bCs/>
                <w:sz w:val="21"/>
                <w:szCs w:val="21"/>
              </w:rPr>
              <w:t>核查职称证书、劳动合同或其他在职证明、社保或公积金缴存证明材料和专业技术人员档案材料等，要求：</w:t>
            </w:r>
          </w:p>
          <w:p>
            <w:pPr>
              <w:adjustRightInd w:val="0"/>
              <w:snapToGrid w:val="0"/>
              <w:spacing w:line="264" w:lineRule="exact"/>
              <w:jc w:val="left"/>
              <w:rPr>
                <w:rFonts w:hint="eastAsia" w:ascii="仿宋_GB2312" w:hAnsi="仿宋_GB2312" w:cs="仿宋_GB2312"/>
                <w:b/>
                <w:sz w:val="21"/>
                <w:szCs w:val="21"/>
              </w:rPr>
            </w:pPr>
            <w:r>
              <w:rPr>
                <w:rFonts w:hint="eastAsia" w:ascii="仿宋_GB2312" w:hAnsi="仿宋_GB2312" w:cs="仿宋_GB2312"/>
                <w:kern w:val="0"/>
                <w:sz w:val="21"/>
                <w:szCs w:val="21"/>
              </w:rPr>
              <w:t>考核评估合格的高级专业技术职称或同等能力专业技术人员数量符合要求。</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bCs/>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不符合要求。</w:t>
            </w:r>
          </w:p>
        </w:tc>
        <w:tc>
          <w:tcPr>
            <w:tcW w:w="27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sz w:val="21"/>
                <w:szCs w:val="21"/>
              </w:rPr>
              <w:t>“同等能力”说明详见附录2。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6"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11</w:t>
            </w:r>
          </w:p>
        </w:tc>
        <w:tc>
          <w:tcPr>
            <w:tcW w:w="1193"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中级及以上技术职称或同等能力专业技术人员不少于机构所有职业卫生专业技术人员总数的40%。</w:t>
            </w:r>
          </w:p>
        </w:tc>
        <w:tc>
          <w:tcPr>
            <w:tcW w:w="1227"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中级及以上技术职称或同等能力专业技术人员不少于机构所有职业卫生专业技术人员总数的30%。</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bCs/>
                <w:sz w:val="21"/>
                <w:szCs w:val="21"/>
              </w:rPr>
              <w:t>核查职称证书、劳动合同或其他在职证明、社保或公积金缴存证明材料和专业技术人员档案材料等，要求：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考核评估合格的</w:t>
            </w:r>
            <w:r>
              <w:rPr>
                <w:rFonts w:hint="eastAsia" w:ascii="仿宋_GB2312" w:hAnsi="仿宋_GB2312" w:cs="仿宋_GB2312"/>
                <w:kern w:val="0"/>
                <w:sz w:val="21"/>
                <w:szCs w:val="21"/>
              </w:rPr>
              <w:t>中级及以上专业技术职称或同等能力专业技术人员比例符合要求</w:t>
            </w:r>
            <w:r>
              <w:rPr>
                <w:rFonts w:hint="eastAsia" w:ascii="仿宋_GB2312" w:hAnsi="仿宋_GB2312" w:cs="仿宋_GB2312"/>
                <w:bCs/>
                <w:sz w:val="21"/>
                <w:szCs w:val="21"/>
              </w:rPr>
              <w:t>。</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均符合要求。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bCs/>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54"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12</w:t>
            </w:r>
          </w:p>
        </w:tc>
        <w:tc>
          <w:tcPr>
            <w:tcW w:w="1193"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职业卫生检测专业技术人员不少于十名、评价专业技术人员不少于十名。</w:t>
            </w:r>
          </w:p>
        </w:tc>
        <w:tc>
          <w:tcPr>
            <w:tcW w:w="1227"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职业卫生检测专业技术人员不少于五名、评价专业技术人员不少于五名。</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核查职称证书、学历证书、学位证书、劳动合同或其他在职证明、社保或公积金缴存证明材料和专业技术人员档案材料等，要求：</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考核评估合格的</w:t>
            </w:r>
            <w:r>
              <w:rPr>
                <w:rFonts w:hint="eastAsia" w:ascii="仿宋_GB2312" w:hAnsi="仿宋_GB2312" w:cs="仿宋_GB2312"/>
                <w:kern w:val="0"/>
                <w:sz w:val="21"/>
                <w:szCs w:val="21"/>
              </w:rPr>
              <w:t>职业卫生检测、评价专业技术人员数量符合要求。</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bCs/>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不符合要求。</w:t>
            </w:r>
          </w:p>
        </w:tc>
        <w:tc>
          <w:tcPr>
            <w:tcW w:w="27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kern w:val="0"/>
                <w:sz w:val="21"/>
                <w:szCs w:val="21"/>
              </w:rPr>
            </w:pPr>
            <w:r>
              <w:rPr>
                <w:rFonts w:hint="eastAsia" w:ascii="仿宋_GB2312" w:hAnsi="仿宋_GB2312" w:cs="仿宋_GB2312"/>
                <w:kern w:val="0"/>
                <w:sz w:val="21"/>
                <w:szCs w:val="21"/>
              </w:rPr>
              <w:t>申请第一类业务范围的审查。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13</w:t>
            </w:r>
          </w:p>
        </w:tc>
        <w:tc>
          <w:tcPr>
            <w:tcW w:w="1193"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放射卫生检测、评价人员不少于十名，高级专业技术职称或同等能力专业技术人员不少于三名。</w:t>
            </w:r>
          </w:p>
        </w:tc>
        <w:tc>
          <w:tcPr>
            <w:tcW w:w="1227"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放射卫生检测、评价人员不少于五名，高级专业技术职称或同等能力专业技术人员不少于一名。</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核查职称证书、学历证书、学位证书、劳动合同或其他在职证明、社保或公积金缴存证明材料和专业技术人员档案材料等，要求：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kern w:val="0"/>
                <w:sz w:val="21"/>
                <w:szCs w:val="21"/>
              </w:rPr>
              <w:t>考核评估合格的放射卫生检测、评价人员数量符合要求。</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bCs/>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不符合要求。</w:t>
            </w:r>
          </w:p>
        </w:tc>
        <w:tc>
          <w:tcPr>
            <w:tcW w:w="27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sz w:val="21"/>
                <w:szCs w:val="21"/>
              </w:rPr>
              <w:t>申请第二类业务范围的审查。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9"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14</w:t>
            </w:r>
          </w:p>
        </w:tc>
        <w:tc>
          <w:tcPr>
            <w:tcW w:w="1193"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职业卫生工程技术人员不少于三名，且高级专业技术职称或同等能力专业技术人员不少于一名。</w:t>
            </w:r>
          </w:p>
        </w:tc>
        <w:tc>
          <w:tcPr>
            <w:tcW w:w="1227"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职业卫生工程技术人员不少于一名</w:t>
            </w:r>
            <w:r>
              <w:rPr>
                <w:rFonts w:hint="eastAsia" w:ascii="仿宋_GB2312" w:hAnsi="仿宋_GB2312" w:cs="仿宋_GB2312"/>
                <w:kern w:val="0"/>
                <w:sz w:val="21"/>
                <w:szCs w:val="21"/>
                <w:lang w:bidi="ar"/>
              </w:rPr>
              <w:t>。</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核查职称证书、学历证书、学位证书、劳动合同或其他在职证明、社保或公积金缴存证明材料和专业技术人员档案材料等，要求：</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考核评估合格的职业卫生工程技术人员数量符合要求。</w:t>
            </w:r>
          </w:p>
          <w:p>
            <w:pPr>
              <w:adjustRightInd w:val="0"/>
              <w:snapToGrid w:val="0"/>
              <w:spacing w:line="264" w:lineRule="exact"/>
              <w:jc w:val="left"/>
              <w:rPr>
                <w:rFonts w:hint="eastAsia" w:ascii="仿宋_GB2312" w:hAnsi="仿宋_GB2312" w:cs="仿宋_GB2312"/>
                <w:sz w:val="21"/>
                <w:szCs w:val="21"/>
              </w:rPr>
            </w:pP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bCs/>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不符合要求。</w:t>
            </w:r>
          </w:p>
        </w:tc>
        <w:tc>
          <w:tcPr>
            <w:tcW w:w="27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kern w:val="0"/>
                <w:sz w:val="21"/>
                <w:szCs w:val="21"/>
              </w:rPr>
              <w:t>申请第一类业务范围的审查。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15</w:t>
            </w:r>
          </w:p>
        </w:tc>
        <w:tc>
          <w:tcPr>
            <w:tcW w:w="1193"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公共卫生专业人员不少于三名，且高级专业技术职称或同等能力专业技术人员不少于一名。</w:t>
            </w:r>
          </w:p>
        </w:tc>
        <w:tc>
          <w:tcPr>
            <w:tcW w:w="1227"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公共卫生专业人员不少于二名，且中级及以上专业技术职称或同等能力专业技术人员不少于一名。</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核查职称证书、学历证书、学位证书、劳动合同或其他在职证明、社保或公积金</w:t>
            </w:r>
            <w:r>
              <w:rPr>
                <w:rFonts w:hint="eastAsia" w:ascii="仿宋_GB2312" w:hAnsi="仿宋_GB2312" w:cs="仿宋_GB2312"/>
                <w:kern w:val="0"/>
                <w:sz w:val="21"/>
                <w:szCs w:val="21"/>
              </w:rPr>
              <w:t>缴</w:t>
            </w:r>
            <w:r>
              <w:rPr>
                <w:rFonts w:hint="eastAsia" w:ascii="仿宋_GB2312" w:hAnsi="仿宋_GB2312" w:cs="仿宋_GB2312"/>
                <w:kern w:val="0"/>
                <w:sz w:val="21"/>
                <w:szCs w:val="21"/>
                <w:lang w:val="en-US" w:eastAsia="zh-CN"/>
              </w:rPr>
              <w:t>存</w:t>
            </w:r>
            <w:r>
              <w:rPr>
                <w:rFonts w:hint="eastAsia" w:ascii="仿宋_GB2312" w:hAnsi="仿宋_GB2312" w:cs="仿宋_GB2312"/>
                <w:sz w:val="21"/>
                <w:szCs w:val="21"/>
              </w:rPr>
              <w:t>证明材料和专业技术人员档案材料等，要求：</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考核评估合格的公共卫生专业人员数量符合要求。</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bCs/>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16</w:t>
            </w:r>
          </w:p>
        </w:tc>
        <w:tc>
          <w:tcPr>
            <w:tcW w:w="2420" w:type="dxa"/>
            <w:gridSpan w:val="2"/>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应按照申请业务范围的要求配置行业工程技术人员。</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lang w:val="en-US" w:eastAsia="zh-CN"/>
              </w:rPr>
              <w:t>核</w:t>
            </w:r>
            <w:r>
              <w:rPr>
                <w:rFonts w:hint="eastAsia" w:ascii="仿宋_GB2312" w:hAnsi="仿宋_GB2312" w:cs="仿宋_GB2312"/>
                <w:bCs/>
                <w:sz w:val="21"/>
                <w:szCs w:val="21"/>
              </w:rPr>
              <w:t>查职称证书、学历证书、学位证书、劳动合同或其他在职证明、社保或公积金缴存证明材料和专业技术人员档案材料等，要求：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1.行业工程技术人员配备应符合附录2的相关要求；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2.行业工程技术人员应达到考核评估合格要求。</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1.不符合要求的，该项业务范围不予通过；</w:t>
            </w:r>
          </w:p>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2.如申请的每项业务范围的行业工程技术人员均不符合要求，则</w:t>
            </w:r>
            <w:r>
              <w:rPr>
                <w:rFonts w:hint="eastAsia" w:ascii="仿宋_GB2312" w:hAnsi="仿宋_GB2312" w:cs="仿宋_GB2312"/>
                <w:sz w:val="21"/>
                <w:szCs w:val="21"/>
              </w:rPr>
              <w:t>判定评审结论为“不通过”</w:t>
            </w:r>
            <w:r>
              <w:rPr>
                <w:rFonts w:hint="eastAsia" w:ascii="仿宋_GB2312" w:hAnsi="仿宋_GB2312" w:cs="仿宋_GB2312"/>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restart"/>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人员岗位和职责</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17</w:t>
            </w:r>
          </w:p>
        </w:tc>
        <w:tc>
          <w:tcPr>
            <w:tcW w:w="1193"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★技术负责人具有高级专业技术职称和五年以上职业卫生检测、评价相关工作经验，年龄不得超过65周岁。</w:t>
            </w:r>
          </w:p>
        </w:tc>
        <w:tc>
          <w:tcPr>
            <w:tcW w:w="122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★技术负责人具有高级专业技术职称和三年以上职业卫生检测、评价相关工作经验，或者中级专业技术职称和八年以上职业卫生检测、评价相关工作经验，年龄不得超过65周岁。</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核查质量管理体系文件、身份证、职称证书、劳动合同或其他在职证明、社保或公积金缴存证明材料、专业技术人员档案和技术服务档案材料等，要求：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1.设置检测、评价技术负责人岗位，有技术负责人任命文件及岗位职责；</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2.为申请单位的专职人员；</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3.专业技术职称符合要求；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4.工作经历符合要求；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5.年龄符合要求；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6.技术负责人达到考核评估合格要求。</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bCs/>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kern w:val="0"/>
                <w:sz w:val="21"/>
                <w:szCs w:val="21"/>
                <w:lang w:bidi="ar"/>
              </w:rPr>
              <w:t>第一类和第二类业务范围，应分别设置技术负责人。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4"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18</w:t>
            </w:r>
          </w:p>
        </w:tc>
        <w:tc>
          <w:tcPr>
            <w:tcW w:w="2420" w:type="dxa"/>
            <w:gridSpan w:val="2"/>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kern w:val="0"/>
                <w:sz w:val="21"/>
                <w:szCs w:val="21"/>
              </w:rPr>
              <w:t>★质量控制负责人具有高级专业技术职称和三年以上相关工作经验，或者中级专业技术职称和五年以上相关工作经验，具有建立、维护和保证质量管理体系有效运行的能力和权力。</w:t>
            </w:r>
          </w:p>
        </w:tc>
        <w:tc>
          <w:tcPr>
            <w:tcW w:w="5641" w:type="dxa"/>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bCs/>
                <w:sz w:val="21"/>
                <w:szCs w:val="21"/>
              </w:rPr>
              <w:t>核查质量管理体系文件、身份证、职称证书、劳动合同或其他在职证明、社保或公积金缴存证明材料和专业技术人员档案材料等</w:t>
            </w:r>
            <w:r>
              <w:rPr>
                <w:rFonts w:hint="eastAsia" w:ascii="仿宋_GB2312" w:hAnsi="仿宋_GB2312" w:cs="仿宋_GB2312"/>
                <w:kern w:val="0"/>
                <w:sz w:val="21"/>
                <w:szCs w:val="21"/>
              </w:rPr>
              <w:t>，要求：</w:t>
            </w:r>
          </w:p>
          <w:p>
            <w:pPr>
              <w:numPr>
                <w:ilvl w:val="0"/>
                <w:numId w:val="2"/>
              </w:num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设置质量控制负责人，有质量控制负责人任命文件；</w:t>
            </w:r>
          </w:p>
          <w:p>
            <w:pPr>
              <w:numPr>
                <w:ilvl w:val="0"/>
                <w:numId w:val="2"/>
              </w:num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为申请单位的专职人员；</w:t>
            </w:r>
          </w:p>
          <w:p>
            <w:pPr>
              <w:numPr>
                <w:ilvl w:val="0"/>
                <w:numId w:val="2"/>
              </w:num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专业技术职称符合要求；</w:t>
            </w:r>
          </w:p>
          <w:p>
            <w:pPr>
              <w:numPr>
                <w:ilvl w:val="0"/>
                <w:numId w:val="2"/>
              </w:num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工作经历符合要求；</w:t>
            </w:r>
          </w:p>
          <w:p>
            <w:pPr>
              <w:numPr>
                <w:ilvl w:val="0"/>
                <w:numId w:val="2"/>
              </w:num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kern w:val="0"/>
                <w:sz w:val="21"/>
                <w:szCs w:val="21"/>
              </w:rPr>
              <w:t>质量控制负责人达到考核评估合格要求；</w:t>
            </w:r>
          </w:p>
          <w:p>
            <w:pPr>
              <w:numPr>
                <w:ilvl w:val="0"/>
                <w:numId w:val="2"/>
              </w:num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查阅质量体系文件及相关记录，证明其具有建立、维护和保证质量管理体系有效运行的能力和权力。</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bCs/>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19</w:t>
            </w:r>
          </w:p>
        </w:tc>
        <w:tc>
          <w:tcPr>
            <w:tcW w:w="2420" w:type="dxa"/>
            <w:gridSpan w:val="2"/>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kern w:val="0"/>
                <w:sz w:val="21"/>
                <w:szCs w:val="21"/>
              </w:rPr>
              <w:t>授权签字人的设置满足要求。</w:t>
            </w:r>
          </w:p>
        </w:tc>
        <w:tc>
          <w:tcPr>
            <w:tcW w:w="5641" w:type="dxa"/>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bCs/>
                <w:sz w:val="21"/>
                <w:szCs w:val="21"/>
              </w:rPr>
              <w:t>核查质量管理体系文件、身份证、职称证书、学历证书、学位证书、劳动合同或其他在职证明、社保或公积金缴存证明材料和专业技术人员档案材料等</w:t>
            </w:r>
            <w:r>
              <w:rPr>
                <w:rFonts w:hint="eastAsia" w:ascii="仿宋_GB2312" w:hAnsi="仿宋_GB2312" w:cs="仿宋_GB2312"/>
                <w:kern w:val="0"/>
                <w:sz w:val="21"/>
                <w:szCs w:val="21"/>
              </w:rPr>
              <w:t>，要求：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1.设置了授权签字人，并有授权签字人的任命文件；</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2.授权签字人具有中级及以上专业技术职称；</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bCs/>
                <w:sz w:val="21"/>
                <w:szCs w:val="21"/>
              </w:rPr>
              <w:t>3.授权签字人</w:t>
            </w:r>
            <w:r>
              <w:rPr>
                <w:rFonts w:hint="eastAsia" w:ascii="仿宋_GB2312" w:hAnsi="仿宋_GB2312" w:cs="仿宋_GB2312"/>
                <w:kern w:val="0"/>
                <w:sz w:val="21"/>
                <w:szCs w:val="21"/>
              </w:rPr>
              <w:t>达到考核评估合格要求；</w:t>
            </w:r>
          </w:p>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4.授权签字人应该熟悉职业卫生检测、评价相关法规、标准、方法和过程，并能对技术报告进行正确评判（</w:t>
            </w:r>
            <w:r>
              <w:rPr>
                <w:rFonts w:hint="eastAsia" w:ascii="仿宋_GB2312" w:hAnsi="仿宋_GB2312" w:cs="仿宋_GB2312"/>
                <w:kern w:val="0"/>
                <w:sz w:val="21"/>
                <w:szCs w:val="21"/>
              </w:rPr>
              <w:t>采取口试方式进行能力考核</w:t>
            </w:r>
            <w:r>
              <w:rPr>
                <w:rFonts w:hint="eastAsia" w:ascii="仿宋_GB2312" w:hAnsi="仿宋_GB2312" w:cs="仿宋_GB2312"/>
                <w:bCs/>
                <w:sz w:val="21"/>
                <w:szCs w:val="21"/>
              </w:rPr>
              <w:t>）。</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bCs/>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20</w:t>
            </w:r>
          </w:p>
        </w:tc>
        <w:tc>
          <w:tcPr>
            <w:tcW w:w="2420" w:type="dxa"/>
            <w:gridSpan w:val="2"/>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kern w:val="0"/>
                <w:sz w:val="21"/>
                <w:szCs w:val="21"/>
              </w:rPr>
              <w:t>审核人、质量监督员、内审员、设备管理员、样品管理员、档案管理员的设置满足要求。</w:t>
            </w:r>
          </w:p>
        </w:tc>
        <w:tc>
          <w:tcPr>
            <w:tcW w:w="5641" w:type="dxa"/>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bCs/>
                <w:sz w:val="21"/>
                <w:szCs w:val="21"/>
              </w:rPr>
              <w:t>核查质量管理体系文件、身份证、职称证书、学历证书、学位证书、劳动合同或其他在职证明、社保或公积金缴存证明材料和专业技术人员档案材料等</w:t>
            </w:r>
            <w:r>
              <w:rPr>
                <w:rFonts w:hint="eastAsia" w:ascii="仿宋_GB2312" w:hAnsi="仿宋_GB2312" w:cs="仿宋_GB2312"/>
                <w:kern w:val="0"/>
                <w:sz w:val="21"/>
                <w:szCs w:val="21"/>
              </w:rPr>
              <w:t>，要求：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1.设置了六类人员岗位，有六类人员的任命文件；</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2.审核人、质量监督员应具有中级及以上专业技术职称或同等能力，且达到考核评估合格要求。</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bCs/>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21</w:t>
            </w:r>
          </w:p>
        </w:tc>
        <w:tc>
          <w:tcPr>
            <w:tcW w:w="2420" w:type="dxa"/>
            <w:gridSpan w:val="2"/>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kern w:val="0"/>
                <w:sz w:val="21"/>
                <w:szCs w:val="21"/>
              </w:rPr>
            </w:pPr>
            <w:r>
              <w:rPr>
                <w:rFonts w:hint="eastAsia" w:ascii="仿宋_GB2312" w:hAnsi="仿宋_GB2312" w:cs="仿宋_GB2312"/>
                <w:kern w:val="0"/>
                <w:sz w:val="21"/>
                <w:szCs w:val="21"/>
              </w:rPr>
              <w:t>明确各类专业技术人员岗位职责并有效实施。</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核查质量管理体系文件、技术服务报告及相关原始记录等材料，要求：</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1.应当建立、健全职业卫生技术服务责任制，明确主要负责人、质量控制负责人、技术负责人、授权签字人、审核人、项目负责人及项目参与人员责任；</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2.主要负责人全面负责本机构的职业卫生技术服务工作；</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3.质量控制负责人应负责质量管理体系的建立、实施和维护，并组织对技术服务全过程质量控制和管理；</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4.技术负责人应参与质量管理体系的建立、实施和维护，并组织对技术服务全过程技术能力的控制和管理；</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5.授权签字人应按照授权范围和相关法律、法规和标准规范要求对技术服务报告进行审核和签发；</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6.审核人应对检测、评价过程进行审核，对检测、评价结果或结论的准确性、合理性和有效性进行评估；</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7.质量监督员应对职业卫生技术服务全过程开展质量监督；</w:t>
            </w:r>
          </w:p>
          <w:p>
            <w:pPr>
              <w:adjustRightInd w:val="0"/>
              <w:snapToGrid w:val="0"/>
              <w:spacing w:line="264" w:lineRule="exact"/>
              <w:jc w:val="left"/>
              <w:rPr>
                <w:rFonts w:hint="eastAsia" w:ascii="仿宋_GB2312" w:hAnsi="仿宋_GB2312" w:cs="仿宋_GB2312"/>
                <w:kern w:val="0"/>
                <w:sz w:val="21"/>
                <w:szCs w:val="21"/>
                <w:lang w:bidi="ar"/>
              </w:rPr>
            </w:pPr>
            <w:r>
              <w:rPr>
                <w:rFonts w:hint="eastAsia" w:ascii="仿宋_GB2312" w:hAnsi="仿宋_GB2312" w:cs="仿宋_GB2312"/>
                <w:kern w:val="0"/>
                <w:sz w:val="21"/>
                <w:szCs w:val="21"/>
              </w:rPr>
              <w:t>8.项目负责人及参与人员按照职责分工参与技术服务，在技术报告及原始记录上签字。检测、评价人员</w:t>
            </w:r>
            <w:r>
              <w:rPr>
                <w:rFonts w:hint="eastAsia" w:ascii="仿宋_GB2312" w:hAnsi="仿宋_GB2312" w:cs="仿宋_GB2312"/>
                <w:kern w:val="0"/>
                <w:sz w:val="21"/>
                <w:szCs w:val="21"/>
                <w:lang w:bidi="ar"/>
              </w:rPr>
              <w:t>应达到考核评估合格要求方可在职业卫生技术服务报告和相关原始记录上独立签字；</w:t>
            </w:r>
          </w:p>
          <w:p>
            <w:pPr>
              <w:adjustRightInd w:val="0"/>
              <w:snapToGrid w:val="0"/>
              <w:spacing w:line="264" w:lineRule="exact"/>
              <w:jc w:val="left"/>
              <w:rPr>
                <w:rFonts w:hint="eastAsia" w:ascii="仿宋_GB2312" w:hAnsi="仿宋_GB2312" w:cs="仿宋_GB2312"/>
                <w:bCs/>
                <w:sz w:val="21"/>
                <w:szCs w:val="21"/>
                <w:lang w:bidi="ar"/>
              </w:rPr>
            </w:pPr>
            <w:r>
              <w:rPr>
                <w:rFonts w:hint="eastAsia" w:ascii="仿宋_GB2312" w:hAnsi="仿宋_GB2312" w:cs="仿宋_GB2312"/>
                <w:kern w:val="0"/>
                <w:sz w:val="21"/>
                <w:szCs w:val="21"/>
              </w:rPr>
              <w:t>9.内审员、设备管理员、样品管理员、档案管理员应按照质量管理体系文件规定，有效履行岗位职责。</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bCs/>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99"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人员培训</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22</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申请单位应组织专业技术人员接受专业培训。</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w:t>
            </w:r>
            <w:r>
              <w:rPr>
                <w:rFonts w:hint="eastAsia" w:ascii="仿宋_GB2312" w:hAnsi="仿宋_GB2312" w:cs="仿宋_GB2312"/>
                <w:kern w:val="0"/>
                <w:sz w:val="21"/>
                <w:szCs w:val="21"/>
              </w:rPr>
              <w:t>专业技术人员培训计划、培训内容、培训过程记录等培训档案材料</w:t>
            </w:r>
            <w:r>
              <w:rPr>
                <w:rFonts w:hint="eastAsia" w:ascii="仿宋_GB2312" w:hAnsi="仿宋_GB2312" w:cs="仿宋_GB2312"/>
                <w:bCs/>
                <w:sz w:val="21"/>
                <w:szCs w:val="21"/>
              </w:rPr>
              <w:t>，要求：</w:t>
            </w:r>
          </w:p>
          <w:p>
            <w:pPr>
              <w:widowControl/>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1.应组织专业技术人员接受岗前专业培训，机构可以自行开展或委托有条件的培训机构开展，岗前培训时间不少于40学时；</w:t>
            </w:r>
          </w:p>
          <w:p>
            <w:pPr>
              <w:widowControl/>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2.</w:t>
            </w:r>
            <w:r>
              <w:rPr>
                <w:rFonts w:hint="eastAsia" w:ascii="仿宋_GB2312" w:hAnsi="仿宋_GB2312" w:cs="仿宋_GB2312"/>
                <w:sz w:val="21"/>
                <w:szCs w:val="21"/>
              </w:rPr>
              <w:t>培训内容应涵盖《职业卫生技术服务机构专业技术人员考核评估大纲》的考核内容；</w:t>
            </w:r>
          </w:p>
          <w:p>
            <w:pPr>
              <w:widowControl/>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kern w:val="0"/>
                <w:sz w:val="21"/>
                <w:szCs w:val="21"/>
              </w:rPr>
              <w:t>3</w:t>
            </w:r>
            <w:r>
              <w:rPr>
                <w:rFonts w:hint="eastAsia" w:ascii="仿宋_GB2312" w:hAnsi="仿宋_GB2312" w:cs="仿宋_GB2312"/>
                <w:sz w:val="21"/>
                <w:szCs w:val="21"/>
              </w:rPr>
              <w:t>.专业技术人员应接受每年不少于8学时的专业知识继续教育培训；</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kern w:val="0"/>
                <w:sz w:val="21"/>
                <w:szCs w:val="21"/>
              </w:rPr>
              <w:t>4.规范建立</w:t>
            </w:r>
            <w:r>
              <w:rPr>
                <w:rFonts w:hint="eastAsia" w:ascii="仿宋_GB2312" w:hAnsi="仿宋_GB2312" w:cs="仿宋_GB2312"/>
                <w:bCs/>
                <w:sz w:val="21"/>
                <w:szCs w:val="21"/>
              </w:rPr>
              <w:t>专业技术人员培训档案，档案材料至少包括</w:t>
            </w:r>
            <w:r>
              <w:rPr>
                <w:rFonts w:hint="eastAsia" w:ascii="仿宋_GB2312" w:hAnsi="仿宋_GB2312" w:cs="仿宋_GB2312"/>
                <w:sz w:val="21"/>
                <w:szCs w:val="21"/>
              </w:rPr>
              <w:t>培训计划、培训内容、培训过程记录（包括书面及影像资料）等材料。</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sz w:val="21"/>
                <w:szCs w:val="21"/>
              </w:rPr>
              <w:t>新申请乙级资质的，不核查继续教育培训情况。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3"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专业技术人员管理</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23</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规范建立专业技术人员技术档案，</w:t>
            </w:r>
            <w:r>
              <w:rPr>
                <w:rFonts w:hint="eastAsia" w:ascii="仿宋_GB2312" w:hAnsi="仿宋_GB2312" w:cs="仿宋_GB2312"/>
                <w:bCs/>
                <w:sz w:val="21"/>
                <w:szCs w:val="21"/>
              </w:rPr>
              <w:t>档案材料齐全</w:t>
            </w:r>
            <w:r>
              <w:rPr>
                <w:rFonts w:hint="eastAsia" w:ascii="仿宋_GB2312" w:hAnsi="仿宋_GB2312" w:cs="仿宋_GB2312"/>
                <w:kern w:val="0"/>
                <w:sz w:val="21"/>
                <w:szCs w:val="21"/>
              </w:rPr>
              <w:t>。</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核查人员技术档案材料，要求：</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1.规范建立了专业技术人员技术档案；</w:t>
            </w:r>
          </w:p>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kern w:val="0"/>
                <w:sz w:val="21"/>
                <w:szCs w:val="21"/>
              </w:rPr>
              <w:t>2.</w:t>
            </w:r>
            <w:r>
              <w:rPr>
                <w:rFonts w:hint="eastAsia" w:ascii="仿宋_GB2312" w:hAnsi="仿宋_GB2312" w:cs="仿宋_GB2312"/>
                <w:bCs/>
                <w:sz w:val="21"/>
                <w:szCs w:val="21"/>
              </w:rPr>
              <w:t>档案材料齐全，</w:t>
            </w:r>
            <w:r>
              <w:rPr>
                <w:rFonts w:hint="eastAsia" w:ascii="仿宋_GB2312" w:hAnsi="仿宋_GB2312" w:cs="仿宋_GB2312"/>
                <w:kern w:val="0"/>
                <w:sz w:val="21"/>
                <w:szCs w:val="21"/>
              </w:rPr>
              <w:t>包括劳动合同</w:t>
            </w:r>
            <w:r>
              <w:rPr>
                <w:rFonts w:hint="eastAsia" w:ascii="仿宋_GB2312" w:hAnsi="仿宋_GB2312" w:cs="仿宋_GB2312"/>
                <w:bCs/>
                <w:sz w:val="21"/>
                <w:szCs w:val="21"/>
              </w:rPr>
              <w:t>或其他在职证明</w:t>
            </w:r>
            <w:r>
              <w:rPr>
                <w:rFonts w:hint="eastAsia" w:ascii="仿宋_GB2312" w:hAnsi="仿宋_GB2312" w:cs="仿宋_GB2312"/>
                <w:kern w:val="0"/>
                <w:sz w:val="21"/>
                <w:szCs w:val="21"/>
              </w:rPr>
              <w:t>、专业技术职称证书、岗位任命文件、学历证书、学位证书、专业知识培训考核相关材料、发表的研究论文、专著、发明专利、科研成果、参与制定的职业卫生相关标准等。</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sz w:val="21"/>
                <w:szCs w:val="21"/>
              </w:rPr>
              <w:t>技术档案材料可以为复印件或影印件。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restart"/>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专业技术人员实操能力考核</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24-1</w:t>
            </w:r>
          </w:p>
        </w:tc>
        <w:tc>
          <w:tcPr>
            <w:tcW w:w="2420" w:type="dxa"/>
            <w:gridSpan w:val="2"/>
            <w:vMerge w:val="restart"/>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bCs/>
                <w:sz w:val="21"/>
                <w:szCs w:val="21"/>
              </w:rPr>
            </w:pPr>
            <w:r>
              <w:rPr>
                <w:rFonts w:hint="eastAsia" w:ascii="仿宋_GB2312" w:hAnsi="仿宋_GB2312" w:cs="仿宋_GB2312"/>
                <w:kern w:val="0"/>
                <w:sz w:val="21"/>
                <w:szCs w:val="21"/>
              </w:rPr>
              <w:t>现场采样、现场检测和实验室检测分析等操作</w:t>
            </w:r>
            <w:r>
              <w:rPr>
                <w:rFonts w:hint="eastAsia" w:ascii="仿宋_GB2312" w:hAnsi="仿宋_GB2312" w:cs="仿宋_GB2312"/>
                <w:bCs/>
                <w:sz w:val="21"/>
                <w:szCs w:val="21"/>
              </w:rPr>
              <w:t>规范、熟练。</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kern w:val="0"/>
                <w:sz w:val="21"/>
                <w:szCs w:val="21"/>
              </w:rPr>
              <w:t>专家依据考核大纲和考试题库，对检测人员进行操作技能考核，检测人员应独立完成考核</w:t>
            </w:r>
            <w:r>
              <w:rPr>
                <w:rFonts w:hint="eastAsia" w:ascii="仿宋_GB2312" w:hAnsi="仿宋_GB2312" w:cs="仿宋_GB2312"/>
                <w:bCs/>
                <w:sz w:val="21"/>
                <w:szCs w:val="21"/>
              </w:rPr>
              <w:t>，要求：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1.熟悉现场采样、现场检测和实验室检测的原理和方法；</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2.熟练操作现场采样、现场检测和实验室检测的仪器设备。</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kern w:val="0"/>
                <w:sz w:val="21"/>
                <w:szCs w:val="21"/>
              </w:rPr>
            </w:pPr>
            <w:r>
              <w:rPr>
                <w:rFonts w:hint="eastAsia" w:ascii="仿宋_GB2312" w:hAnsi="仿宋_GB2312" w:cs="仿宋_GB2312"/>
                <w:kern w:val="0"/>
                <w:sz w:val="21"/>
                <w:szCs w:val="21"/>
              </w:rPr>
              <w:t>全部参加考核人员符合要求。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kern w:val="0"/>
                <w:sz w:val="21"/>
                <w:szCs w:val="21"/>
              </w:rPr>
            </w:pPr>
            <w:r>
              <w:rPr>
                <w:rFonts w:hint="eastAsia" w:ascii="仿宋_GB2312" w:hAnsi="仿宋_GB2312" w:cs="仿宋_GB2312"/>
                <w:kern w:val="0"/>
                <w:sz w:val="21"/>
                <w:szCs w:val="21"/>
              </w:rPr>
              <w:t>有二名及以下参加考核人员基本符合要求，其余人员均符合要求。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kern w:val="0"/>
                <w:sz w:val="21"/>
                <w:szCs w:val="21"/>
              </w:rPr>
            </w:pPr>
            <w:r>
              <w:rPr>
                <w:rFonts w:hint="eastAsia" w:ascii="仿宋_GB2312" w:hAnsi="仿宋_GB2312" w:cs="仿宋_GB2312"/>
                <w:kern w:val="0"/>
                <w:sz w:val="21"/>
                <w:szCs w:val="21"/>
              </w:rPr>
              <w:t>有三名以上参加考核人员基本符合要求，或一名以上参加考核人员不符合要求。</w:t>
            </w:r>
          </w:p>
        </w:tc>
        <w:tc>
          <w:tcPr>
            <w:tcW w:w="27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kern w:val="0"/>
                <w:sz w:val="21"/>
                <w:szCs w:val="21"/>
              </w:rPr>
            </w:pPr>
            <w:r>
              <w:rPr>
                <w:rFonts w:hint="eastAsia" w:ascii="仿宋_GB2312" w:hAnsi="仿宋_GB2312" w:cs="仿宋_GB2312"/>
                <w:kern w:val="0"/>
                <w:sz w:val="21"/>
                <w:szCs w:val="21"/>
              </w:rPr>
              <w:t>申请第一类业务范围的考核。参加考核人员数量：甲级不少于五名，乙级不少于三名。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bCs/>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bCs/>
                <w:sz w:val="21"/>
                <w:szCs w:val="21"/>
              </w:rPr>
            </w:pPr>
            <w:r>
              <w:rPr>
                <w:rFonts w:hint="eastAsia" w:ascii="仿宋_GB2312" w:hAnsi="仿宋_GB2312" w:cs="仿宋_GB2312"/>
                <w:bCs/>
                <w:sz w:val="21"/>
                <w:szCs w:val="21"/>
              </w:rPr>
              <w:t>24-2</w:t>
            </w:r>
          </w:p>
        </w:tc>
        <w:tc>
          <w:tcPr>
            <w:tcW w:w="2420" w:type="dxa"/>
            <w:gridSpan w:val="2"/>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bCs/>
                <w:sz w:val="21"/>
                <w:szCs w:val="21"/>
              </w:rPr>
            </w:pP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kern w:val="0"/>
                <w:sz w:val="21"/>
                <w:szCs w:val="21"/>
              </w:rPr>
              <w:t>专家依据考核大纲和考试题库，对检测人员进行操作技能考核，检测人员应独立完成考核</w:t>
            </w:r>
            <w:r>
              <w:rPr>
                <w:rFonts w:hint="eastAsia" w:ascii="仿宋_GB2312" w:hAnsi="仿宋_GB2312" w:cs="仿宋_GB2312"/>
                <w:bCs/>
                <w:sz w:val="21"/>
                <w:szCs w:val="21"/>
              </w:rPr>
              <w:t>，要求：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1.熟悉现场检测和实验室检测的原理和方法；</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2.熟练操作现场检测和实验室检测的仪器设备；</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3.熟悉各类放射防护检测的本底测量方法。</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kern w:val="0"/>
                <w:sz w:val="21"/>
                <w:szCs w:val="21"/>
              </w:rPr>
            </w:pPr>
            <w:r>
              <w:rPr>
                <w:rFonts w:hint="eastAsia" w:ascii="仿宋_GB2312" w:hAnsi="仿宋_GB2312" w:cs="仿宋_GB2312"/>
                <w:kern w:val="0"/>
                <w:sz w:val="21"/>
                <w:szCs w:val="21"/>
              </w:rPr>
              <w:t>全部参加考核人员均符合要求。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kern w:val="0"/>
                <w:sz w:val="21"/>
                <w:szCs w:val="21"/>
              </w:rPr>
            </w:pPr>
            <w:r>
              <w:rPr>
                <w:rFonts w:hint="eastAsia" w:ascii="仿宋_GB2312" w:hAnsi="仿宋_GB2312" w:cs="仿宋_GB2312"/>
                <w:kern w:val="0"/>
                <w:sz w:val="21"/>
                <w:szCs w:val="21"/>
              </w:rPr>
              <w:t>有一名参加考核人员基本符合要求，其余人员均符合要求。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kern w:val="0"/>
                <w:sz w:val="21"/>
                <w:szCs w:val="21"/>
              </w:rPr>
            </w:pPr>
            <w:r>
              <w:rPr>
                <w:rFonts w:hint="eastAsia" w:ascii="仿宋_GB2312" w:hAnsi="仿宋_GB2312" w:cs="仿宋_GB2312"/>
                <w:kern w:val="0"/>
                <w:sz w:val="21"/>
                <w:szCs w:val="21"/>
              </w:rPr>
              <w:t>有二名以上参加考核人员基本符合要求，或一名以上参加考核人员不符合要求。</w:t>
            </w:r>
          </w:p>
        </w:tc>
        <w:tc>
          <w:tcPr>
            <w:tcW w:w="27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kern w:val="0"/>
                <w:sz w:val="21"/>
                <w:szCs w:val="21"/>
              </w:rPr>
            </w:pPr>
            <w:r>
              <w:rPr>
                <w:rFonts w:hint="eastAsia" w:ascii="仿宋_GB2312" w:hAnsi="仿宋_GB2312" w:cs="仿宋_GB2312"/>
                <w:kern w:val="0"/>
                <w:sz w:val="21"/>
                <w:szCs w:val="21"/>
              </w:rPr>
              <w:t>申请第二类业务范围的考核。参加考核人员数量：甲级不少于三名，乙级不少于二名。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25</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现场采样、现场检测、实验室分析记录规范、完整。</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考核现场采样、现场检测、实验室分析的模拟记录，要求：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1.使用的记录表格应受控，保证现行有效；</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2.记录应清晰，便于辨识相关信息；</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3.记录的信息应准确、完整、规范，没有缺项。</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26</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职业卫生工程技术人员实际操作熟练、规范。</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专家依据考核大纲和考试题库，对职业卫生工程技术人员进行实际操作能力考核，职业卫生工程技术人员应独立完成考核，要求：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1.熟悉和应用风速、风量、风压的检测方法、布点原则；</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2.熟悉风速、风量、风压的检测仪器的原理和操作；</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3.熟悉职业卫生工程防护设施及个体防护用品的种类、适用范围和选用原则。</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全部参加考核人员</w:t>
            </w:r>
            <w:r>
              <w:rPr>
                <w:rFonts w:hint="eastAsia" w:ascii="仿宋_GB2312" w:hAnsi="仿宋_GB2312" w:cs="仿宋_GB2312"/>
                <w:bCs/>
                <w:sz w:val="21"/>
                <w:szCs w:val="21"/>
                <w:lang w:val="en-US" w:eastAsia="zh-CN"/>
              </w:rPr>
              <w:t>均</w:t>
            </w:r>
            <w:r>
              <w:rPr>
                <w:rFonts w:hint="eastAsia" w:ascii="仿宋_GB2312" w:hAnsi="仿宋_GB2312" w:cs="仿宋_GB2312"/>
                <w:bCs/>
                <w:sz w:val="21"/>
                <w:szCs w:val="21"/>
              </w:rPr>
              <w:t>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有一名参加考核人员基本符合要求。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kern w:val="0"/>
                <w:sz w:val="21"/>
                <w:szCs w:val="21"/>
              </w:rPr>
              <w:t>有二名以上参加考核人员基本符合要求，或</w:t>
            </w:r>
            <w:r>
              <w:rPr>
                <w:rFonts w:hint="eastAsia" w:ascii="仿宋_GB2312" w:hAnsi="仿宋_GB2312" w:cs="仿宋_GB2312"/>
                <w:bCs/>
                <w:sz w:val="21"/>
                <w:szCs w:val="21"/>
              </w:rPr>
              <w:t>有一名以上参加考核人员不符合要求。</w:t>
            </w:r>
          </w:p>
        </w:tc>
        <w:tc>
          <w:tcPr>
            <w:tcW w:w="27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申请第一类业务范围的考核。参加考核人员数量，甲级不少于三名，乙级不少于一名。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50" w:type="dxa"/>
            <w:vMerge w:val="restart"/>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3．工作场所</w:t>
            </w:r>
          </w:p>
        </w:tc>
        <w:tc>
          <w:tcPr>
            <w:tcW w:w="584" w:type="dxa"/>
            <w:vMerge w:val="restart"/>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工作场所面积</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27</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sz w:val="21"/>
                <w:szCs w:val="21"/>
              </w:rPr>
            </w:pPr>
            <w:r>
              <w:rPr>
                <w:rFonts w:hint="eastAsia" w:ascii="仿宋_GB2312" w:hAnsi="仿宋_GB2312" w:cs="仿宋_GB2312"/>
                <w:bCs/>
                <w:sz w:val="21"/>
                <w:szCs w:val="21"/>
              </w:rPr>
              <w:t>★</w:t>
            </w:r>
            <w:r>
              <w:rPr>
                <w:rFonts w:hint="eastAsia" w:ascii="仿宋_GB2312" w:hAnsi="仿宋_GB2312" w:cs="仿宋_GB2312"/>
                <w:kern w:val="0"/>
                <w:sz w:val="21"/>
                <w:szCs w:val="21"/>
              </w:rPr>
              <w:t>有固定工作场所，工作场所面积与所申请资质、业务范围</w:t>
            </w:r>
            <w:r>
              <w:rPr>
                <w:rFonts w:hint="eastAsia" w:ascii="仿宋_GB2312" w:hAnsi="仿宋_GB2312" w:cs="仿宋_GB2312"/>
                <w:kern w:val="0"/>
                <w:sz w:val="21"/>
                <w:szCs w:val="21"/>
                <w:lang w:val="en-US" w:eastAsia="zh-CN"/>
              </w:rPr>
              <w:t>相</w:t>
            </w:r>
            <w:r>
              <w:rPr>
                <w:rFonts w:hint="eastAsia" w:ascii="仿宋_GB2312" w:hAnsi="仿宋_GB2312" w:cs="仿宋_GB2312"/>
                <w:kern w:val="0"/>
                <w:sz w:val="21"/>
                <w:szCs w:val="21"/>
              </w:rPr>
              <w:t>适应。</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现场察看工作场所布局，核查房产证或房屋租赁合同等资料，要求：</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1.根据申请资质、业务范围设有相应工作场所，工作场所面积满足实际工作需求；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kern w:val="0"/>
                <w:sz w:val="21"/>
                <w:szCs w:val="21"/>
              </w:rPr>
              <w:t>2.</w:t>
            </w:r>
            <w:r>
              <w:rPr>
                <w:rFonts w:hint="eastAsia" w:ascii="仿宋_GB2312" w:hAnsi="仿宋_GB2312" w:cs="仿宋_GB2312"/>
                <w:bCs/>
                <w:sz w:val="21"/>
                <w:szCs w:val="21"/>
              </w:rPr>
              <w:t>为自有产权或租赁产权。</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28</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职业卫生检测实验室面积满足技术服务需求。</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现场察看工作场所布局，核查房产证或房屋租赁合同等资料，要求：</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实验室</w:t>
            </w:r>
            <w:r>
              <w:rPr>
                <w:rFonts w:hint="eastAsia" w:ascii="仿宋_GB2312" w:hAnsi="仿宋_GB2312" w:cs="仿宋_GB2312"/>
                <w:kern w:val="0"/>
                <w:sz w:val="21"/>
                <w:szCs w:val="21"/>
              </w:rPr>
              <w:t>面积满足实际工作需求</w:t>
            </w:r>
            <w:r>
              <w:rPr>
                <w:rFonts w:hint="eastAsia" w:ascii="仿宋_GB2312" w:hAnsi="仿宋_GB2312" w:cs="仿宋_GB2312"/>
                <w:bCs/>
                <w:sz w:val="21"/>
                <w:szCs w:val="21"/>
              </w:rPr>
              <w:t>。</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29</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有独立的档案室，档案室面积满足技术服务需求。</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现场察看工作场所布局，核查房产证或房屋租赁合同等资料，要求：</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bCs/>
                <w:sz w:val="21"/>
                <w:szCs w:val="21"/>
              </w:rPr>
              <w:t>1.档案室</w:t>
            </w:r>
            <w:r>
              <w:rPr>
                <w:rFonts w:hint="eastAsia" w:ascii="仿宋_GB2312" w:hAnsi="仿宋_GB2312" w:cs="仿宋_GB2312"/>
                <w:kern w:val="0"/>
                <w:sz w:val="21"/>
                <w:szCs w:val="21"/>
              </w:rPr>
              <w:t>面积满足实际工作需求；</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kern w:val="0"/>
                <w:sz w:val="21"/>
                <w:szCs w:val="21"/>
              </w:rPr>
              <w:t>2.档案室设置应符合相关要求</w:t>
            </w:r>
            <w:r>
              <w:rPr>
                <w:rFonts w:hint="eastAsia" w:ascii="仿宋_GB2312" w:hAnsi="仿宋_GB2312" w:cs="仿宋_GB2312"/>
                <w:bCs/>
                <w:sz w:val="21"/>
                <w:szCs w:val="21"/>
              </w:rPr>
              <w:t>。</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bCs/>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restart"/>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实验室设置</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30</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bCs/>
                <w:sz w:val="21"/>
                <w:szCs w:val="21"/>
              </w:rPr>
              <w:t>实验室各类用房应集中布置，做到功能分区明确、布局合理、互不干扰。</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现场察看实验室的布局、环境及内务管理，以及实验室管理制度，要求：</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bCs/>
                <w:sz w:val="21"/>
                <w:szCs w:val="21"/>
              </w:rPr>
              <w:t>1</w:t>
            </w:r>
            <w:r>
              <w:rPr>
                <w:rFonts w:hint="eastAsia" w:ascii="仿宋_GB2312" w:hAnsi="仿宋_GB2312" w:cs="仿宋_GB2312"/>
                <w:kern w:val="0"/>
                <w:sz w:val="21"/>
                <w:szCs w:val="21"/>
              </w:rPr>
              <w:t>.实验室各类用房集中布置；</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2.实验室功能分区明确、布局合理、互不干扰；</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3.实验室内整洁有序、有良好的内务;</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4.水、气、电等管路或线路布局合理。</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31</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bCs/>
                <w:sz w:val="21"/>
                <w:szCs w:val="21"/>
              </w:rPr>
            </w:pPr>
            <w:r>
              <w:rPr>
                <w:rFonts w:hint="eastAsia" w:ascii="仿宋_GB2312" w:hAnsi="仿宋_GB2312" w:cs="仿宋_GB2312"/>
                <w:sz w:val="21"/>
                <w:szCs w:val="21"/>
                <w:shd w:val="clear" w:color="auto" w:fill="FFFFFF"/>
              </w:rPr>
              <w:t>天平室设置</w:t>
            </w:r>
            <w:r>
              <w:rPr>
                <w:rFonts w:hint="eastAsia" w:ascii="仿宋_GB2312" w:hAnsi="仿宋_GB2312" w:cs="仿宋_GB2312"/>
                <w:bCs/>
                <w:sz w:val="21"/>
                <w:szCs w:val="21"/>
              </w:rPr>
              <w:t>、布局、环境及管理</w:t>
            </w:r>
            <w:r>
              <w:rPr>
                <w:rFonts w:hint="eastAsia" w:ascii="仿宋_GB2312" w:hAnsi="仿宋_GB2312" w:cs="仿宋_GB2312"/>
                <w:sz w:val="21"/>
                <w:szCs w:val="21"/>
                <w:shd w:val="clear" w:color="auto" w:fill="FFFFFF"/>
              </w:rPr>
              <w:t>应满足要求。</w:t>
            </w:r>
          </w:p>
        </w:tc>
        <w:tc>
          <w:tcPr>
            <w:tcW w:w="5641" w:type="dxa"/>
            <w:noWrap w:val="0"/>
            <w:tcMar>
              <w:top w:w="15" w:type="dxa"/>
              <w:left w:w="15" w:type="dxa"/>
              <w:right w:w="15" w:type="dxa"/>
            </w:tcMar>
            <w:vAlign w:val="center"/>
          </w:tcPr>
          <w:p>
            <w:pPr>
              <w:widowControl/>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bCs/>
                <w:kern w:val="0"/>
                <w:sz w:val="21"/>
                <w:szCs w:val="21"/>
              </w:rPr>
              <w:t>现场察看</w:t>
            </w:r>
            <w:r>
              <w:rPr>
                <w:rFonts w:hint="eastAsia" w:ascii="仿宋_GB2312" w:hAnsi="仿宋_GB2312" w:cs="仿宋_GB2312"/>
                <w:kern w:val="0"/>
                <w:sz w:val="21"/>
                <w:szCs w:val="21"/>
                <w:shd w:val="clear" w:color="auto" w:fill="FFFFFF"/>
              </w:rPr>
              <w:t>天平室的设置</w:t>
            </w:r>
            <w:r>
              <w:rPr>
                <w:rFonts w:hint="eastAsia" w:ascii="仿宋_GB2312" w:hAnsi="仿宋_GB2312" w:cs="仿宋_GB2312"/>
                <w:bCs/>
                <w:kern w:val="0"/>
                <w:sz w:val="21"/>
                <w:szCs w:val="21"/>
              </w:rPr>
              <w:t>、布局、环境及管理措施，</w:t>
            </w:r>
            <w:r>
              <w:rPr>
                <w:rFonts w:hint="eastAsia" w:ascii="仿宋_GB2312" w:hAnsi="仿宋_GB2312" w:cs="仿宋_GB2312"/>
                <w:kern w:val="0"/>
                <w:sz w:val="21"/>
                <w:szCs w:val="21"/>
                <w:shd w:val="clear" w:color="auto" w:fill="FFFFFF"/>
              </w:rPr>
              <w:t>要求：</w:t>
            </w:r>
          </w:p>
          <w:p>
            <w:pPr>
              <w:widowControl/>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shd w:val="clear" w:color="auto" w:fill="FFFFFF"/>
              </w:rPr>
              <w:t>1.远离振源，防止气流和磁场干扰，并设置缓冲间；</w:t>
            </w:r>
          </w:p>
          <w:p>
            <w:pPr>
              <w:widowControl/>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shd w:val="clear" w:color="auto" w:fill="FFFFFF"/>
              </w:rPr>
              <w:t>2.天平室墙体、地面应平整光滑，不积尘、不起灰；</w:t>
            </w:r>
          </w:p>
          <w:p>
            <w:pPr>
              <w:widowControl/>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shd w:val="clear" w:color="auto" w:fill="FFFFFF"/>
              </w:rPr>
              <w:t>3.天平台台面和台座应做隔振处理；</w:t>
            </w:r>
          </w:p>
          <w:p>
            <w:pPr>
              <w:widowControl/>
              <w:adjustRightInd w:val="0"/>
              <w:snapToGrid w:val="0"/>
              <w:spacing w:line="264" w:lineRule="exact"/>
              <w:jc w:val="left"/>
              <w:rPr>
                <w:rFonts w:hint="eastAsia" w:ascii="仿宋_GB2312" w:hAnsi="仿宋_GB2312" w:cs="仿宋_GB2312"/>
                <w:bCs/>
                <w:kern w:val="0"/>
                <w:sz w:val="21"/>
                <w:szCs w:val="21"/>
              </w:rPr>
            </w:pPr>
            <w:r>
              <w:rPr>
                <w:rFonts w:hint="eastAsia" w:ascii="仿宋_GB2312" w:hAnsi="仿宋_GB2312" w:cs="仿宋_GB2312"/>
                <w:kern w:val="0"/>
                <w:sz w:val="21"/>
                <w:szCs w:val="21"/>
                <w:shd w:val="clear" w:color="auto" w:fill="FFFFFF"/>
              </w:rPr>
              <w:t>4.应设置室内环境条件控制设施，备有温湿度计，保持称量环境温度、湿度相对恒定。</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申请第一类业务范围和第二类核设施业务范围的审查。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32</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bCs/>
                <w:sz w:val="21"/>
                <w:szCs w:val="21"/>
              </w:rPr>
            </w:pPr>
            <w:r>
              <w:rPr>
                <w:rFonts w:hint="eastAsia" w:ascii="仿宋_GB2312" w:hAnsi="仿宋_GB2312" w:cs="仿宋_GB2312"/>
                <w:sz w:val="21"/>
                <w:szCs w:val="21"/>
                <w:shd w:val="clear" w:color="auto" w:fill="FFFFFF"/>
              </w:rPr>
              <w:t>仪器室设置</w:t>
            </w:r>
            <w:r>
              <w:rPr>
                <w:rFonts w:hint="eastAsia" w:ascii="仿宋_GB2312" w:hAnsi="仿宋_GB2312" w:cs="仿宋_GB2312"/>
                <w:bCs/>
                <w:sz w:val="21"/>
                <w:szCs w:val="21"/>
              </w:rPr>
              <w:t>、布局、环境及管理</w:t>
            </w:r>
            <w:r>
              <w:rPr>
                <w:rFonts w:hint="eastAsia" w:ascii="仿宋_GB2312" w:hAnsi="仿宋_GB2312" w:cs="仿宋_GB2312"/>
                <w:sz w:val="21"/>
                <w:szCs w:val="21"/>
                <w:shd w:val="clear" w:color="auto" w:fill="FFFFFF"/>
              </w:rPr>
              <w:t>应满足要求。</w:t>
            </w:r>
          </w:p>
        </w:tc>
        <w:tc>
          <w:tcPr>
            <w:tcW w:w="5641" w:type="dxa"/>
            <w:noWrap w:val="0"/>
            <w:tcMar>
              <w:top w:w="15" w:type="dxa"/>
              <w:left w:w="15" w:type="dxa"/>
              <w:right w:w="15" w:type="dxa"/>
            </w:tcMar>
            <w:vAlign w:val="center"/>
          </w:tcPr>
          <w:p>
            <w:pPr>
              <w:widowControl/>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bCs/>
                <w:kern w:val="0"/>
                <w:sz w:val="21"/>
                <w:szCs w:val="21"/>
              </w:rPr>
              <w:t>现场察看</w:t>
            </w:r>
            <w:r>
              <w:rPr>
                <w:rFonts w:hint="eastAsia" w:ascii="仿宋_GB2312" w:hAnsi="仿宋_GB2312" w:cs="仿宋_GB2312"/>
                <w:kern w:val="0"/>
                <w:sz w:val="21"/>
                <w:szCs w:val="21"/>
                <w:shd w:val="clear" w:color="auto" w:fill="FFFFFF"/>
              </w:rPr>
              <w:t>仪器室的设置</w:t>
            </w:r>
            <w:r>
              <w:rPr>
                <w:rFonts w:hint="eastAsia" w:ascii="仿宋_GB2312" w:hAnsi="仿宋_GB2312" w:cs="仿宋_GB2312"/>
                <w:bCs/>
                <w:kern w:val="0"/>
                <w:sz w:val="21"/>
                <w:szCs w:val="21"/>
              </w:rPr>
              <w:t>、布局、环境及管理措施，</w:t>
            </w:r>
            <w:r>
              <w:rPr>
                <w:rFonts w:hint="eastAsia" w:ascii="仿宋_GB2312" w:hAnsi="仿宋_GB2312" w:cs="仿宋_GB2312"/>
                <w:kern w:val="0"/>
                <w:sz w:val="21"/>
                <w:szCs w:val="21"/>
                <w:shd w:val="clear" w:color="auto" w:fill="FFFFFF"/>
              </w:rPr>
              <w:t>要求：</w:t>
            </w:r>
          </w:p>
          <w:p>
            <w:pPr>
              <w:widowControl/>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shd w:val="clear" w:color="auto" w:fill="FFFFFF"/>
              </w:rPr>
              <w:t>1.仪器室应保证分析测定所要求的温度、湿度条件；</w:t>
            </w:r>
          </w:p>
          <w:p>
            <w:pPr>
              <w:widowControl/>
              <w:adjustRightInd w:val="0"/>
              <w:snapToGrid w:val="0"/>
              <w:spacing w:line="264" w:lineRule="exact"/>
              <w:jc w:val="left"/>
              <w:rPr>
                <w:rFonts w:hint="eastAsia" w:ascii="仿宋_GB2312" w:hAnsi="仿宋_GB2312" w:cs="仿宋_GB2312"/>
                <w:kern w:val="0"/>
                <w:sz w:val="21"/>
                <w:szCs w:val="21"/>
                <w:shd w:val="clear" w:color="auto" w:fill="FFFFFF"/>
              </w:rPr>
            </w:pPr>
            <w:r>
              <w:rPr>
                <w:rFonts w:hint="eastAsia" w:ascii="仿宋_GB2312" w:hAnsi="仿宋_GB2312" w:cs="仿宋_GB2312"/>
                <w:kern w:val="0"/>
                <w:sz w:val="21"/>
                <w:szCs w:val="21"/>
                <w:shd w:val="clear" w:color="auto" w:fill="FFFFFF"/>
              </w:rPr>
              <w:t>2.仪器室应保证通风良好，产生废气的设备上方应设置局部排风系统，排风罩符合安全要求，罩口风速符合要求。</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申请第一类业务范围的审查。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33</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bCs/>
                <w:sz w:val="21"/>
                <w:szCs w:val="21"/>
              </w:rPr>
            </w:pPr>
            <w:r>
              <w:rPr>
                <w:rFonts w:hint="eastAsia" w:ascii="仿宋_GB2312" w:hAnsi="仿宋_GB2312" w:cs="仿宋_GB2312"/>
                <w:sz w:val="21"/>
                <w:szCs w:val="21"/>
                <w:shd w:val="clear" w:color="auto" w:fill="FFFFFF"/>
              </w:rPr>
              <w:t>样品前处理室设置</w:t>
            </w:r>
            <w:r>
              <w:rPr>
                <w:rFonts w:hint="eastAsia" w:ascii="仿宋_GB2312" w:hAnsi="仿宋_GB2312" w:cs="仿宋_GB2312"/>
                <w:bCs/>
                <w:sz w:val="21"/>
                <w:szCs w:val="21"/>
              </w:rPr>
              <w:t>、布局、环境及管理</w:t>
            </w:r>
            <w:r>
              <w:rPr>
                <w:rFonts w:hint="eastAsia" w:ascii="仿宋_GB2312" w:hAnsi="仿宋_GB2312" w:cs="仿宋_GB2312"/>
                <w:sz w:val="21"/>
                <w:szCs w:val="21"/>
                <w:shd w:val="clear" w:color="auto" w:fill="FFFFFF"/>
              </w:rPr>
              <w:t>应满足要求。</w:t>
            </w:r>
          </w:p>
        </w:tc>
        <w:tc>
          <w:tcPr>
            <w:tcW w:w="5641" w:type="dxa"/>
            <w:noWrap w:val="0"/>
            <w:tcMar>
              <w:top w:w="15" w:type="dxa"/>
              <w:left w:w="15" w:type="dxa"/>
              <w:right w:w="15" w:type="dxa"/>
            </w:tcMar>
            <w:vAlign w:val="center"/>
          </w:tcPr>
          <w:p>
            <w:pPr>
              <w:widowControl/>
              <w:adjustRightInd w:val="0"/>
              <w:snapToGrid w:val="0"/>
              <w:spacing w:line="264" w:lineRule="exact"/>
              <w:rPr>
                <w:rFonts w:hint="eastAsia" w:ascii="仿宋_GB2312" w:hAnsi="仿宋_GB2312" w:cs="仿宋_GB2312"/>
                <w:kern w:val="0"/>
                <w:sz w:val="21"/>
                <w:szCs w:val="21"/>
              </w:rPr>
            </w:pPr>
            <w:r>
              <w:rPr>
                <w:rFonts w:hint="eastAsia" w:ascii="仿宋_GB2312" w:hAnsi="仿宋_GB2312" w:cs="仿宋_GB2312"/>
                <w:bCs/>
                <w:kern w:val="0"/>
                <w:sz w:val="21"/>
                <w:szCs w:val="21"/>
              </w:rPr>
              <w:t>现场察看</w:t>
            </w:r>
            <w:r>
              <w:rPr>
                <w:rFonts w:hint="eastAsia" w:ascii="仿宋_GB2312" w:hAnsi="仿宋_GB2312" w:cs="仿宋_GB2312"/>
                <w:kern w:val="0"/>
                <w:sz w:val="21"/>
                <w:szCs w:val="21"/>
                <w:shd w:val="clear" w:color="auto" w:fill="FFFFFF"/>
              </w:rPr>
              <w:t>样品前处理室的设置</w:t>
            </w:r>
            <w:r>
              <w:rPr>
                <w:rFonts w:hint="eastAsia" w:ascii="仿宋_GB2312" w:hAnsi="仿宋_GB2312" w:cs="仿宋_GB2312"/>
                <w:bCs/>
                <w:kern w:val="0"/>
                <w:sz w:val="21"/>
                <w:szCs w:val="21"/>
              </w:rPr>
              <w:t>、布局、环境及管理措施，</w:t>
            </w:r>
            <w:r>
              <w:rPr>
                <w:rFonts w:hint="eastAsia" w:ascii="仿宋_GB2312" w:hAnsi="仿宋_GB2312" w:cs="仿宋_GB2312"/>
                <w:kern w:val="0"/>
                <w:sz w:val="21"/>
                <w:szCs w:val="21"/>
                <w:shd w:val="clear" w:color="auto" w:fill="FFFFFF"/>
              </w:rPr>
              <w:t>要求：</w:t>
            </w:r>
          </w:p>
          <w:p>
            <w:pPr>
              <w:widowControl/>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shd w:val="clear" w:color="auto" w:fill="FFFFFF"/>
              </w:rPr>
              <w:t>1.有机样品和无机样品前处理区域应分开设置；</w:t>
            </w:r>
          </w:p>
          <w:p>
            <w:pPr>
              <w:widowControl/>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shd w:val="clear" w:color="auto" w:fill="FFFFFF"/>
              </w:rPr>
              <w:t>2.墙体地面应平整光滑、耐腐蚀，易于冲洗清扫。实验台、试剂柜等应耐酸碱腐蚀；</w:t>
            </w:r>
          </w:p>
          <w:p>
            <w:pPr>
              <w:widowControl/>
              <w:adjustRightInd w:val="0"/>
              <w:snapToGrid w:val="0"/>
              <w:spacing w:line="264" w:lineRule="exact"/>
              <w:jc w:val="left"/>
              <w:rPr>
                <w:rFonts w:hint="eastAsia" w:ascii="仿宋_GB2312" w:hAnsi="仿宋_GB2312" w:cs="仿宋_GB2312"/>
                <w:bCs/>
                <w:kern w:val="0"/>
                <w:sz w:val="21"/>
                <w:szCs w:val="21"/>
              </w:rPr>
            </w:pPr>
            <w:r>
              <w:rPr>
                <w:rFonts w:hint="eastAsia" w:ascii="仿宋_GB2312" w:hAnsi="仿宋_GB2312" w:cs="仿宋_GB2312"/>
                <w:kern w:val="0"/>
                <w:sz w:val="21"/>
                <w:szCs w:val="21"/>
                <w:shd w:val="clear" w:color="auto" w:fill="FFFFFF"/>
              </w:rPr>
              <w:t>3.样品前处理室应通风良好，设置独立通风橱，样品消解处理应设置耐酸碱腐蚀的通风橱。</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申请第一类业务范围的审查。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34</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高温室</w:t>
            </w:r>
            <w:r>
              <w:rPr>
                <w:rFonts w:hint="eastAsia" w:ascii="仿宋_GB2312" w:hAnsi="仿宋_GB2312" w:cs="仿宋_GB2312"/>
                <w:sz w:val="21"/>
                <w:szCs w:val="21"/>
                <w:shd w:val="clear" w:color="auto" w:fill="FFFFFF"/>
              </w:rPr>
              <w:t>设置</w:t>
            </w:r>
            <w:r>
              <w:rPr>
                <w:rFonts w:hint="eastAsia" w:ascii="仿宋_GB2312" w:hAnsi="仿宋_GB2312" w:cs="仿宋_GB2312"/>
                <w:bCs/>
                <w:sz w:val="21"/>
                <w:szCs w:val="21"/>
              </w:rPr>
              <w:t>、布局、环境及管理</w:t>
            </w:r>
            <w:r>
              <w:rPr>
                <w:rFonts w:hint="eastAsia" w:ascii="仿宋_GB2312" w:hAnsi="仿宋_GB2312" w:cs="仿宋_GB2312"/>
                <w:kern w:val="0"/>
                <w:sz w:val="21"/>
                <w:szCs w:val="21"/>
              </w:rPr>
              <w:t>应满足要求。</w:t>
            </w:r>
          </w:p>
        </w:tc>
        <w:tc>
          <w:tcPr>
            <w:tcW w:w="5641" w:type="dxa"/>
            <w:noWrap w:val="0"/>
            <w:tcMar>
              <w:top w:w="15" w:type="dxa"/>
              <w:left w:w="15" w:type="dxa"/>
              <w:right w:w="15" w:type="dxa"/>
            </w:tcMar>
            <w:vAlign w:val="center"/>
          </w:tcPr>
          <w:p>
            <w:pPr>
              <w:widowControl/>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bCs/>
                <w:kern w:val="0"/>
                <w:sz w:val="21"/>
                <w:szCs w:val="21"/>
              </w:rPr>
              <w:t>现场察看</w:t>
            </w:r>
            <w:r>
              <w:rPr>
                <w:rFonts w:hint="eastAsia" w:ascii="仿宋_GB2312" w:hAnsi="仿宋_GB2312" w:cs="仿宋_GB2312"/>
                <w:kern w:val="0"/>
                <w:sz w:val="21"/>
                <w:szCs w:val="21"/>
              </w:rPr>
              <w:t>高温室</w:t>
            </w:r>
            <w:r>
              <w:rPr>
                <w:rFonts w:hint="eastAsia" w:ascii="仿宋_GB2312" w:hAnsi="仿宋_GB2312" w:cs="仿宋_GB2312"/>
                <w:kern w:val="0"/>
                <w:sz w:val="21"/>
                <w:szCs w:val="21"/>
                <w:shd w:val="clear" w:color="auto" w:fill="FFFFFF"/>
              </w:rPr>
              <w:t>的设置</w:t>
            </w:r>
            <w:r>
              <w:rPr>
                <w:rFonts w:hint="eastAsia" w:ascii="仿宋_GB2312" w:hAnsi="仿宋_GB2312" w:cs="仿宋_GB2312"/>
                <w:bCs/>
                <w:kern w:val="0"/>
                <w:sz w:val="21"/>
                <w:szCs w:val="21"/>
              </w:rPr>
              <w:t>、布局、环境及管理措施，</w:t>
            </w:r>
            <w:r>
              <w:rPr>
                <w:rFonts w:hint="eastAsia" w:ascii="仿宋_GB2312" w:hAnsi="仿宋_GB2312" w:cs="仿宋_GB2312"/>
                <w:kern w:val="0"/>
                <w:sz w:val="21"/>
                <w:szCs w:val="21"/>
                <w:shd w:val="clear" w:color="auto" w:fill="FFFFFF"/>
              </w:rPr>
              <w:t>要求：</w:t>
            </w:r>
          </w:p>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1.高温室应单独设置；</w:t>
            </w:r>
          </w:p>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2.高温设备应放置在耐高温工作台上，高温设备之间应保持一定间距；</w:t>
            </w:r>
          </w:p>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3.高温室内严禁储存和使用易燃易爆物品及有机化学品，并保持室内通风良好。</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申请第一类业务范围和第二类核设施业务范围的审查。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35</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bCs/>
                <w:sz w:val="21"/>
                <w:szCs w:val="21"/>
              </w:rPr>
            </w:pPr>
            <w:r>
              <w:rPr>
                <w:rFonts w:hint="eastAsia" w:ascii="仿宋_GB2312" w:hAnsi="仿宋_GB2312" w:cs="仿宋_GB2312"/>
                <w:sz w:val="21"/>
                <w:szCs w:val="21"/>
                <w:shd w:val="clear" w:color="auto" w:fill="FFFFFF"/>
              </w:rPr>
              <w:t>现场仪器室设置</w:t>
            </w:r>
            <w:r>
              <w:rPr>
                <w:rFonts w:hint="eastAsia" w:ascii="仿宋_GB2312" w:hAnsi="仿宋_GB2312" w:cs="仿宋_GB2312"/>
                <w:bCs/>
                <w:sz w:val="21"/>
                <w:szCs w:val="21"/>
              </w:rPr>
              <w:t>、布局、环境及管理</w:t>
            </w:r>
            <w:r>
              <w:rPr>
                <w:rFonts w:hint="eastAsia" w:ascii="仿宋_GB2312" w:hAnsi="仿宋_GB2312" w:cs="仿宋_GB2312"/>
                <w:sz w:val="21"/>
                <w:szCs w:val="21"/>
                <w:shd w:val="clear" w:color="auto" w:fill="FFFFFF"/>
              </w:rPr>
              <w:t>应满足要求。</w:t>
            </w:r>
          </w:p>
        </w:tc>
        <w:tc>
          <w:tcPr>
            <w:tcW w:w="5641" w:type="dxa"/>
            <w:noWrap w:val="0"/>
            <w:tcMar>
              <w:top w:w="15" w:type="dxa"/>
              <w:left w:w="15" w:type="dxa"/>
              <w:right w:w="15" w:type="dxa"/>
            </w:tcMar>
            <w:vAlign w:val="center"/>
          </w:tcPr>
          <w:p>
            <w:pPr>
              <w:widowControl/>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bCs/>
                <w:kern w:val="0"/>
                <w:sz w:val="21"/>
                <w:szCs w:val="21"/>
              </w:rPr>
              <w:t>现场察看</w:t>
            </w:r>
            <w:r>
              <w:rPr>
                <w:rFonts w:hint="eastAsia" w:ascii="仿宋_GB2312" w:hAnsi="仿宋_GB2312" w:cs="仿宋_GB2312"/>
                <w:kern w:val="0"/>
                <w:sz w:val="21"/>
                <w:szCs w:val="21"/>
                <w:shd w:val="clear" w:color="auto" w:fill="FFFFFF"/>
              </w:rPr>
              <w:t>现场仪器室的设置</w:t>
            </w:r>
            <w:r>
              <w:rPr>
                <w:rFonts w:hint="eastAsia" w:ascii="仿宋_GB2312" w:hAnsi="仿宋_GB2312" w:cs="仿宋_GB2312"/>
                <w:bCs/>
                <w:kern w:val="0"/>
                <w:sz w:val="21"/>
                <w:szCs w:val="21"/>
              </w:rPr>
              <w:t>、布局、环境及管理措施，</w:t>
            </w:r>
            <w:r>
              <w:rPr>
                <w:rFonts w:hint="eastAsia" w:ascii="仿宋_GB2312" w:hAnsi="仿宋_GB2312" w:cs="仿宋_GB2312"/>
                <w:kern w:val="0"/>
                <w:sz w:val="21"/>
                <w:szCs w:val="21"/>
                <w:shd w:val="clear" w:color="auto" w:fill="FFFFFF"/>
              </w:rPr>
              <w:t>要求：</w:t>
            </w:r>
          </w:p>
          <w:p>
            <w:pPr>
              <w:adjustRightInd w:val="0"/>
              <w:snapToGrid w:val="0"/>
              <w:spacing w:line="264" w:lineRule="exact"/>
              <w:jc w:val="left"/>
              <w:rPr>
                <w:rFonts w:hint="eastAsia" w:ascii="仿宋_GB2312" w:hAnsi="仿宋_GB2312" w:cs="仿宋_GB2312"/>
                <w:sz w:val="21"/>
                <w:szCs w:val="21"/>
                <w:shd w:val="clear" w:color="auto" w:fill="FFFFFF"/>
              </w:rPr>
            </w:pPr>
            <w:r>
              <w:rPr>
                <w:rFonts w:hint="eastAsia" w:ascii="仿宋_GB2312" w:hAnsi="仿宋_GB2312" w:cs="仿宋_GB2312"/>
                <w:sz w:val="21"/>
                <w:szCs w:val="21"/>
                <w:shd w:val="clear" w:color="auto" w:fill="FFFFFF"/>
              </w:rPr>
              <w:t>1.现场采样和现场测量仪器设备应统一存放在现场仪器室内；</w:t>
            </w:r>
          </w:p>
          <w:p>
            <w:pPr>
              <w:adjustRightInd w:val="0"/>
              <w:snapToGrid w:val="0"/>
              <w:spacing w:line="264" w:lineRule="exact"/>
              <w:jc w:val="left"/>
              <w:rPr>
                <w:rFonts w:hint="eastAsia" w:ascii="仿宋_GB2312" w:hAnsi="仿宋_GB2312" w:cs="仿宋_GB2312"/>
                <w:sz w:val="21"/>
                <w:szCs w:val="21"/>
                <w:shd w:val="clear" w:color="auto" w:fill="FFFFFF"/>
              </w:rPr>
            </w:pPr>
            <w:r>
              <w:rPr>
                <w:rFonts w:hint="eastAsia" w:ascii="仿宋_GB2312" w:hAnsi="仿宋_GB2312" w:cs="仿宋_GB2312"/>
                <w:sz w:val="21"/>
                <w:szCs w:val="21"/>
                <w:shd w:val="clear" w:color="auto" w:fill="FFFFFF"/>
              </w:rPr>
              <w:t>2.现场仪器室应保持通风干燥；</w:t>
            </w:r>
          </w:p>
          <w:p>
            <w:pPr>
              <w:adjustRightInd w:val="0"/>
              <w:snapToGrid w:val="0"/>
              <w:spacing w:line="264" w:lineRule="exact"/>
              <w:jc w:val="left"/>
              <w:rPr>
                <w:rFonts w:hint="eastAsia" w:ascii="仿宋_GB2312" w:hAnsi="仿宋_GB2312" w:cs="仿宋_GB2312"/>
                <w:sz w:val="21"/>
                <w:szCs w:val="21"/>
                <w:shd w:val="clear" w:color="auto" w:fill="FFFFFF"/>
              </w:rPr>
            </w:pPr>
            <w:r>
              <w:rPr>
                <w:rFonts w:hint="eastAsia" w:ascii="仿宋_GB2312" w:hAnsi="仿宋_GB2312" w:cs="仿宋_GB2312"/>
                <w:sz w:val="21"/>
                <w:szCs w:val="21"/>
                <w:shd w:val="clear" w:color="auto" w:fill="FFFFFF"/>
              </w:rPr>
              <w:t>3.仪器设备应分类存放，摆放整齐；</w:t>
            </w:r>
          </w:p>
          <w:p>
            <w:pPr>
              <w:adjustRightInd w:val="0"/>
              <w:snapToGrid w:val="0"/>
              <w:spacing w:line="264" w:lineRule="exact"/>
              <w:jc w:val="left"/>
              <w:rPr>
                <w:rFonts w:hint="eastAsia" w:ascii="仿宋_GB2312" w:hAnsi="仿宋_GB2312" w:cs="仿宋_GB2312"/>
                <w:sz w:val="21"/>
                <w:szCs w:val="21"/>
                <w:shd w:val="clear" w:color="auto" w:fill="FFFFFF"/>
              </w:rPr>
            </w:pPr>
            <w:r>
              <w:rPr>
                <w:rFonts w:hint="eastAsia" w:ascii="仿宋_GB2312" w:hAnsi="仿宋_GB2312" w:cs="仿宋_GB2312"/>
                <w:sz w:val="21"/>
                <w:szCs w:val="21"/>
                <w:shd w:val="clear" w:color="auto" w:fill="FFFFFF"/>
              </w:rPr>
              <w:t>4.设置必要的充电设施，满足使用、维护和保养需要；</w:t>
            </w:r>
          </w:p>
          <w:p>
            <w:pPr>
              <w:adjustRightInd w:val="0"/>
              <w:snapToGrid w:val="0"/>
              <w:spacing w:line="264" w:lineRule="exact"/>
              <w:jc w:val="left"/>
              <w:rPr>
                <w:rFonts w:hint="eastAsia" w:ascii="仿宋_GB2312" w:hAnsi="仿宋_GB2312" w:cs="仿宋_GB2312"/>
                <w:sz w:val="21"/>
                <w:szCs w:val="21"/>
                <w:shd w:val="clear" w:color="auto" w:fill="FFFFFF"/>
              </w:rPr>
            </w:pPr>
            <w:r>
              <w:rPr>
                <w:rFonts w:hint="eastAsia" w:ascii="仿宋_GB2312" w:hAnsi="仿宋_GB2312" w:cs="仿宋_GB2312"/>
                <w:sz w:val="21"/>
                <w:szCs w:val="21"/>
                <w:shd w:val="clear" w:color="auto" w:fill="FFFFFF"/>
              </w:rPr>
              <w:t>5.</w:t>
            </w:r>
            <w:r>
              <w:rPr>
                <w:rFonts w:hint="eastAsia" w:ascii="仿宋_GB2312" w:hAnsi="仿宋_GB2312" w:cs="仿宋_GB2312"/>
                <w:bCs/>
                <w:sz w:val="21"/>
                <w:szCs w:val="21"/>
              </w:rPr>
              <w:t>现场采样和现场</w:t>
            </w:r>
            <w:r>
              <w:rPr>
                <w:rFonts w:hint="eastAsia" w:ascii="仿宋_GB2312" w:hAnsi="仿宋_GB2312" w:cs="仿宋_GB2312"/>
                <w:kern w:val="0"/>
                <w:sz w:val="21"/>
                <w:szCs w:val="21"/>
              </w:rPr>
              <w:t>检测</w:t>
            </w:r>
            <w:r>
              <w:rPr>
                <w:rFonts w:hint="eastAsia" w:ascii="仿宋_GB2312" w:hAnsi="仿宋_GB2312" w:cs="仿宋_GB2312"/>
                <w:bCs/>
                <w:sz w:val="21"/>
                <w:szCs w:val="21"/>
              </w:rPr>
              <w:t>设备应有出入库记录。</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36</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bCs/>
                <w:sz w:val="21"/>
                <w:szCs w:val="21"/>
              </w:rPr>
            </w:pPr>
            <w:r>
              <w:rPr>
                <w:rFonts w:hint="eastAsia" w:ascii="仿宋_GB2312" w:hAnsi="仿宋_GB2312" w:cs="仿宋_GB2312"/>
                <w:sz w:val="21"/>
                <w:szCs w:val="21"/>
                <w:shd w:val="clear" w:color="auto" w:fill="FFFFFF"/>
              </w:rPr>
              <w:t>试剂室设置</w:t>
            </w:r>
            <w:r>
              <w:rPr>
                <w:rFonts w:hint="eastAsia" w:ascii="仿宋_GB2312" w:hAnsi="仿宋_GB2312" w:cs="仿宋_GB2312"/>
                <w:bCs/>
                <w:sz w:val="21"/>
                <w:szCs w:val="21"/>
              </w:rPr>
              <w:t>、布局、环境及管理</w:t>
            </w:r>
            <w:r>
              <w:rPr>
                <w:rFonts w:hint="eastAsia" w:ascii="仿宋_GB2312" w:hAnsi="仿宋_GB2312" w:cs="仿宋_GB2312"/>
                <w:sz w:val="21"/>
                <w:szCs w:val="21"/>
                <w:shd w:val="clear" w:color="auto" w:fill="FFFFFF"/>
              </w:rPr>
              <w:t>应满足要求。</w:t>
            </w:r>
          </w:p>
        </w:tc>
        <w:tc>
          <w:tcPr>
            <w:tcW w:w="5641" w:type="dxa"/>
            <w:noWrap w:val="0"/>
            <w:tcMar>
              <w:top w:w="15" w:type="dxa"/>
              <w:left w:w="15" w:type="dxa"/>
              <w:right w:w="15" w:type="dxa"/>
            </w:tcMar>
            <w:vAlign w:val="center"/>
          </w:tcPr>
          <w:p>
            <w:pPr>
              <w:widowControl/>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bCs/>
                <w:kern w:val="0"/>
                <w:sz w:val="21"/>
                <w:szCs w:val="21"/>
              </w:rPr>
              <w:t>现场察看</w:t>
            </w:r>
            <w:r>
              <w:rPr>
                <w:rFonts w:hint="eastAsia" w:ascii="仿宋_GB2312" w:hAnsi="仿宋_GB2312" w:cs="仿宋_GB2312"/>
                <w:kern w:val="0"/>
                <w:sz w:val="21"/>
                <w:szCs w:val="21"/>
                <w:shd w:val="clear" w:color="auto" w:fill="FFFFFF"/>
              </w:rPr>
              <w:t>试剂室的设置</w:t>
            </w:r>
            <w:r>
              <w:rPr>
                <w:rFonts w:hint="eastAsia" w:ascii="仿宋_GB2312" w:hAnsi="仿宋_GB2312" w:cs="仿宋_GB2312"/>
                <w:bCs/>
                <w:kern w:val="0"/>
                <w:sz w:val="21"/>
                <w:szCs w:val="21"/>
              </w:rPr>
              <w:t>、布局、环境及管理措施，</w:t>
            </w:r>
            <w:r>
              <w:rPr>
                <w:rFonts w:hint="eastAsia" w:ascii="仿宋_GB2312" w:hAnsi="仿宋_GB2312" w:cs="仿宋_GB2312"/>
                <w:kern w:val="0"/>
                <w:sz w:val="21"/>
                <w:szCs w:val="21"/>
                <w:shd w:val="clear" w:color="auto" w:fill="FFFFFF"/>
              </w:rPr>
              <w:t>要求：</w:t>
            </w:r>
          </w:p>
          <w:p>
            <w:pPr>
              <w:widowControl/>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shd w:val="clear" w:color="auto" w:fill="FFFFFF"/>
              </w:rPr>
              <w:t>1.试剂柜应选用耐腐蚀材料，存储挥发性试剂的试剂柜应安装排风系统；</w:t>
            </w:r>
          </w:p>
          <w:p>
            <w:pPr>
              <w:widowControl/>
              <w:adjustRightInd w:val="0"/>
              <w:snapToGrid w:val="0"/>
              <w:spacing w:line="264" w:lineRule="exact"/>
              <w:rPr>
                <w:rFonts w:hint="eastAsia" w:ascii="仿宋_GB2312" w:hAnsi="仿宋_GB2312" w:cs="仿宋_GB2312"/>
                <w:kern w:val="0"/>
                <w:sz w:val="21"/>
                <w:szCs w:val="21"/>
              </w:rPr>
            </w:pPr>
            <w:r>
              <w:rPr>
                <w:rFonts w:hint="eastAsia" w:ascii="仿宋_GB2312" w:hAnsi="仿宋_GB2312" w:cs="仿宋_GB2312"/>
                <w:kern w:val="0"/>
                <w:sz w:val="21"/>
                <w:szCs w:val="21"/>
                <w:shd w:val="clear" w:color="auto" w:fill="FFFFFF"/>
              </w:rPr>
              <w:t>2.试剂应分类存放，禁忌试剂不得混存。液体试剂和固体试剂应分柜存放，腐蚀性物品应包装严密，酸、碱试剂应分开存放，氧化剂与还原剂应分开存放，光敏试剂应避光保存，易燃易爆试剂应专柜存放；</w:t>
            </w:r>
          </w:p>
          <w:p>
            <w:pPr>
              <w:adjustRightInd w:val="0"/>
              <w:snapToGrid w:val="0"/>
              <w:spacing w:line="264" w:lineRule="exact"/>
              <w:jc w:val="left"/>
              <w:rPr>
                <w:rFonts w:hint="eastAsia" w:ascii="仿宋_GB2312" w:hAnsi="仿宋_GB2312" w:cs="仿宋_GB2312"/>
                <w:sz w:val="21"/>
                <w:szCs w:val="21"/>
                <w:shd w:val="clear" w:color="auto" w:fill="FFFFFF"/>
              </w:rPr>
            </w:pPr>
            <w:r>
              <w:rPr>
                <w:rFonts w:hint="eastAsia" w:ascii="仿宋_GB2312" w:hAnsi="仿宋_GB2312" w:cs="仿宋_GB2312"/>
                <w:sz w:val="21"/>
                <w:szCs w:val="21"/>
                <w:shd w:val="clear" w:color="auto" w:fill="FFFFFF"/>
              </w:rPr>
              <w:t>3.剧毒、易制毒、易制爆等物品应按要求规范管理；</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sz w:val="21"/>
                <w:szCs w:val="21"/>
                <w:shd w:val="clear" w:color="auto" w:fill="FFFFFF"/>
              </w:rPr>
              <w:t>4.试剂出入库应有记录。</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申请第一类业务范围的审查。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37</w:t>
            </w:r>
          </w:p>
        </w:tc>
        <w:tc>
          <w:tcPr>
            <w:tcW w:w="2420" w:type="dxa"/>
            <w:gridSpan w:val="2"/>
            <w:noWrap w:val="0"/>
            <w:tcMar>
              <w:top w:w="15" w:type="dxa"/>
              <w:left w:w="15" w:type="dxa"/>
              <w:right w:w="15" w:type="dxa"/>
            </w:tcMar>
            <w:vAlign w:val="center"/>
          </w:tcPr>
          <w:p>
            <w:pPr>
              <w:widowControl/>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kern w:val="0"/>
                <w:sz w:val="21"/>
                <w:szCs w:val="21"/>
                <w:shd w:val="clear" w:color="auto" w:fill="FFFFFF"/>
              </w:rPr>
              <w:t>实验室用气应符合相关要求。</w:t>
            </w:r>
          </w:p>
        </w:tc>
        <w:tc>
          <w:tcPr>
            <w:tcW w:w="5641" w:type="dxa"/>
            <w:noWrap w:val="0"/>
            <w:tcMar>
              <w:top w:w="15" w:type="dxa"/>
              <w:left w:w="15" w:type="dxa"/>
              <w:right w:w="15" w:type="dxa"/>
            </w:tcMar>
            <w:vAlign w:val="center"/>
          </w:tcPr>
          <w:p>
            <w:pPr>
              <w:widowControl/>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bCs/>
                <w:kern w:val="0"/>
                <w:sz w:val="21"/>
                <w:szCs w:val="21"/>
              </w:rPr>
              <w:t>现场察看</w:t>
            </w:r>
            <w:r>
              <w:rPr>
                <w:rFonts w:hint="eastAsia" w:ascii="仿宋_GB2312" w:hAnsi="仿宋_GB2312" w:cs="仿宋_GB2312"/>
                <w:kern w:val="0"/>
                <w:sz w:val="21"/>
                <w:szCs w:val="21"/>
                <w:shd w:val="clear" w:color="auto" w:fill="FFFFFF"/>
              </w:rPr>
              <w:t>实验室用气的设置</w:t>
            </w:r>
            <w:r>
              <w:rPr>
                <w:rFonts w:hint="eastAsia" w:ascii="仿宋_GB2312" w:hAnsi="仿宋_GB2312" w:cs="仿宋_GB2312"/>
                <w:bCs/>
                <w:kern w:val="0"/>
                <w:sz w:val="21"/>
                <w:szCs w:val="21"/>
              </w:rPr>
              <w:t>、环境及管理措施，</w:t>
            </w:r>
            <w:r>
              <w:rPr>
                <w:rFonts w:hint="eastAsia" w:ascii="仿宋_GB2312" w:hAnsi="仿宋_GB2312" w:cs="仿宋_GB2312"/>
                <w:kern w:val="0"/>
                <w:sz w:val="21"/>
                <w:szCs w:val="21"/>
                <w:shd w:val="clear" w:color="auto" w:fill="FFFFFF"/>
              </w:rPr>
              <w:t>要求：</w:t>
            </w:r>
          </w:p>
          <w:p>
            <w:pPr>
              <w:widowControl/>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shd w:val="clear" w:color="auto" w:fill="FFFFFF"/>
              </w:rPr>
              <w:t>1.气瓶应分类妥善保管，远离火源、热源，避免阳光直射及强烈振动；</w:t>
            </w:r>
          </w:p>
          <w:p>
            <w:pPr>
              <w:widowControl/>
              <w:adjustRightInd w:val="0"/>
              <w:snapToGrid w:val="0"/>
              <w:spacing w:line="264" w:lineRule="exact"/>
              <w:rPr>
                <w:rFonts w:hint="eastAsia" w:ascii="仿宋_GB2312" w:hAnsi="仿宋_GB2312" w:cs="仿宋_GB2312"/>
                <w:kern w:val="0"/>
                <w:sz w:val="21"/>
                <w:szCs w:val="21"/>
                <w:shd w:val="clear" w:color="auto" w:fill="FFFFFF"/>
              </w:rPr>
            </w:pPr>
            <w:r>
              <w:rPr>
                <w:rFonts w:hint="eastAsia" w:ascii="仿宋_GB2312" w:hAnsi="仿宋_GB2312" w:cs="仿宋_GB2312"/>
                <w:kern w:val="0"/>
                <w:sz w:val="21"/>
                <w:szCs w:val="21"/>
                <w:shd w:val="clear" w:color="auto" w:fill="FFFFFF"/>
              </w:rPr>
              <w:t>2.气瓶应直立放置并有明显标记，摆放整齐，并进行有效固定；</w:t>
            </w:r>
          </w:p>
          <w:p>
            <w:pPr>
              <w:widowControl/>
              <w:adjustRightInd w:val="0"/>
              <w:snapToGrid w:val="0"/>
              <w:spacing w:line="264" w:lineRule="exact"/>
              <w:jc w:val="left"/>
              <w:rPr>
                <w:rFonts w:hint="eastAsia" w:ascii="仿宋_GB2312" w:hAnsi="仿宋_GB2312" w:cs="仿宋_GB2312"/>
                <w:kern w:val="0"/>
                <w:sz w:val="21"/>
                <w:szCs w:val="21"/>
                <w:shd w:val="clear" w:color="auto" w:fill="FFFFFF"/>
              </w:rPr>
            </w:pPr>
            <w:r>
              <w:rPr>
                <w:rFonts w:hint="eastAsia" w:ascii="仿宋_GB2312" w:hAnsi="仿宋_GB2312" w:cs="仿宋_GB2312"/>
                <w:kern w:val="0"/>
                <w:sz w:val="21"/>
                <w:szCs w:val="21"/>
                <w:shd w:val="clear" w:color="auto" w:fill="FFFFFF"/>
              </w:rPr>
              <w:t>3.采用气体发生器作为气源的，应做好设备的维护管理；</w:t>
            </w:r>
          </w:p>
          <w:p>
            <w:pPr>
              <w:widowControl/>
              <w:adjustRightInd w:val="0"/>
              <w:snapToGrid w:val="0"/>
              <w:spacing w:line="264" w:lineRule="exact"/>
              <w:jc w:val="left"/>
              <w:rPr>
                <w:rFonts w:hint="eastAsia" w:ascii="仿宋_GB2312" w:hAnsi="仿宋_GB2312" w:cs="仿宋_GB2312"/>
                <w:kern w:val="0"/>
                <w:sz w:val="21"/>
                <w:szCs w:val="21"/>
                <w:shd w:val="clear" w:color="auto" w:fill="FFFFFF"/>
              </w:rPr>
            </w:pPr>
            <w:r>
              <w:rPr>
                <w:rFonts w:hint="eastAsia" w:ascii="仿宋_GB2312" w:hAnsi="仿宋_GB2312" w:cs="仿宋_GB2312"/>
                <w:kern w:val="0"/>
                <w:sz w:val="21"/>
                <w:szCs w:val="21"/>
                <w:shd w:val="clear" w:color="auto" w:fill="FFFFFF"/>
              </w:rPr>
              <w:t>4.应按照有关安全使用规定正确使用气瓶，设置气体泄漏报警、应急通风装置；</w:t>
            </w:r>
          </w:p>
          <w:p>
            <w:pPr>
              <w:widowControl/>
              <w:adjustRightInd w:val="0"/>
              <w:snapToGrid w:val="0"/>
              <w:spacing w:line="264" w:lineRule="exact"/>
              <w:jc w:val="left"/>
              <w:rPr>
                <w:rFonts w:hint="eastAsia" w:ascii="仿宋_GB2312" w:hAnsi="仿宋_GB2312" w:cs="仿宋_GB2312"/>
                <w:kern w:val="0"/>
                <w:sz w:val="21"/>
                <w:szCs w:val="21"/>
                <w:shd w:val="clear" w:color="auto" w:fill="FFFFFF"/>
              </w:rPr>
            </w:pPr>
            <w:r>
              <w:rPr>
                <w:rFonts w:hint="eastAsia" w:ascii="仿宋_GB2312" w:hAnsi="仿宋_GB2312" w:cs="仿宋_GB2312"/>
                <w:kern w:val="0"/>
                <w:sz w:val="21"/>
                <w:szCs w:val="21"/>
                <w:shd w:val="clear" w:color="auto" w:fill="FFFFFF"/>
              </w:rPr>
              <w:t>5.使用易燃易爆气体的，应设置防爆气瓶柜或气瓶间，设置气瓶间的还应设置静电消除等安全装置。</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申请第一类业务范围和第二类核设施业务范围的审查。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8"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38</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sz w:val="21"/>
                <w:szCs w:val="21"/>
                <w:shd w:val="clear" w:color="auto" w:fill="FFFFFF"/>
              </w:rPr>
            </w:pPr>
            <w:r>
              <w:rPr>
                <w:rFonts w:hint="eastAsia" w:ascii="仿宋_GB2312" w:hAnsi="仿宋_GB2312" w:cs="仿宋_GB2312"/>
                <w:bCs/>
                <w:sz w:val="21"/>
                <w:szCs w:val="21"/>
              </w:rPr>
              <w:t>低本底</w:t>
            </w:r>
            <w:r>
              <w:rPr>
                <w:rFonts w:hint="eastAsia" w:ascii="仿宋_GB2312" w:hAnsi="仿宋_GB2312" w:cs="仿宋_GB2312"/>
                <w:bCs/>
                <w:sz w:val="21"/>
                <w:szCs w:val="21"/>
              </w:rPr>
              <w:sym w:font="Symbol" w:char="F067"/>
            </w:r>
            <w:r>
              <w:rPr>
                <w:rFonts w:hint="eastAsia" w:ascii="仿宋_GB2312" w:hAnsi="仿宋_GB2312" w:cs="仿宋_GB2312"/>
                <w:bCs/>
                <w:sz w:val="21"/>
                <w:szCs w:val="21"/>
              </w:rPr>
              <w:t>能谱室</w:t>
            </w:r>
            <w:r>
              <w:rPr>
                <w:rFonts w:hint="eastAsia" w:ascii="仿宋_GB2312" w:hAnsi="仿宋_GB2312" w:cs="仿宋_GB2312"/>
                <w:sz w:val="21"/>
                <w:szCs w:val="21"/>
                <w:shd w:val="clear" w:color="auto" w:fill="FFFFFF"/>
              </w:rPr>
              <w:t>设置</w:t>
            </w:r>
            <w:r>
              <w:rPr>
                <w:rFonts w:hint="eastAsia" w:ascii="仿宋_GB2312" w:hAnsi="仿宋_GB2312" w:cs="仿宋_GB2312"/>
                <w:bCs/>
                <w:sz w:val="21"/>
                <w:szCs w:val="21"/>
              </w:rPr>
              <w:t>、布局、环境及管理</w:t>
            </w:r>
            <w:r>
              <w:rPr>
                <w:rFonts w:hint="eastAsia" w:ascii="仿宋_GB2312" w:hAnsi="仿宋_GB2312" w:cs="仿宋_GB2312"/>
                <w:sz w:val="21"/>
                <w:szCs w:val="21"/>
                <w:shd w:val="clear" w:color="auto" w:fill="FFFFFF"/>
              </w:rPr>
              <w:t>应满足要求。</w:t>
            </w:r>
          </w:p>
        </w:tc>
        <w:tc>
          <w:tcPr>
            <w:tcW w:w="5641" w:type="dxa"/>
            <w:noWrap w:val="0"/>
            <w:tcMar>
              <w:top w:w="15" w:type="dxa"/>
              <w:left w:w="15" w:type="dxa"/>
              <w:right w:w="15" w:type="dxa"/>
            </w:tcMar>
            <w:vAlign w:val="center"/>
          </w:tcPr>
          <w:p>
            <w:pPr>
              <w:widowControl/>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bCs/>
                <w:kern w:val="0"/>
                <w:sz w:val="21"/>
                <w:szCs w:val="21"/>
              </w:rPr>
              <w:t>现场察看低本底</w:t>
            </w:r>
            <w:r>
              <w:rPr>
                <w:rFonts w:hint="eastAsia" w:ascii="仿宋_GB2312" w:hAnsi="仿宋_GB2312" w:cs="仿宋_GB2312"/>
                <w:bCs/>
                <w:kern w:val="0"/>
                <w:sz w:val="21"/>
                <w:szCs w:val="21"/>
              </w:rPr>
              <w:sym w:font="Symbol" w:char="F067"/>
            </w:r>
            <w:r>
              <w:rPr>
                <w:rFonts w:hint="eastAsia" w:ascii="仿宋_GB2312" w:hAnsi="仿宋_GB2312" w:cs="仿宋_GB2312"/>
                <w:bCs/>
                <w:kern w:val="0"/>
                <w:sz w:val="21"/>
                <w:szCs w:val="21"/>
              </w:rPr>
              <w:t>能谱室</w:t>
            </w:r>
            <w:r>
              <w:rPr>
                <w:rFonts w:hint="eastAsia" w:ascii="仿宋_GB2312" w:hAnsi="仿宋_GB2312" w:cs="仿宋_GB2312"/>
                <w:kern w:val="0"/>
                <w:sz w:val="21"/>
                <w:szCs w:val="21"/>
                <w:shd w:val="clear" w:color="auto" w:fill="FFFFFF"/>
              </w:rPr>
              <w:t>的设置</w:t>
            </w:r>
            <w:r>
              <w:rPr>
                <w:rFonts w:hint="eastAsia" w:ascii="仿宋_GB2312" w:hAnsi="仿宋_GB2312" w:cs="仿宋_GB2312"/>
                <w:bCs/>
                <w:kern w:val="0"/>
                <w:sz w:val="21"/>
                <w:szCs w:val="21"/>
              </w:rPr>
              <w:t>、布局、环境及管理措施，</w:t>
            </w:r>
            <w:r>
              <w:rPr>
                <w:rFonts w:hint="eastAsia" w:ascii="仿宋_GB2312" w:hAnsi="仿宋_GB2312" w:cs="仿宋_GB2312"/>
                <w:kern w:val="0"/>
                <w:sz w:val="21"/>
                <w:szCs w:val="21"/>
                <w:shd w:val="clear" w:color="auto" w:fill="FFFFFF"/>
              </w:rPr>
              <w:t>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1.低本底γ谱仪室应保持通风干燥、防尘；</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2.满足必要的定期制冷维护、标准源刻度校准等需求。</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申请第二类</w:t>
            </w:r>
            <w:r>
              <w:rPr>
                <w:rFonts w:hint="eastAsia" w:ascii="仿宋_GB2312" w:hAnsi="仿宋_GB2312" w:cs="仿宋_GB2312"/>
                <w:kern w:val="0"/>
                <w:sz w:val="21"/>
                <w:szCs w:val="21"/>
                <w:lang w:bidi="ar"/>
              </w:rPr>
              <w:t>核设施</w:t>
            </w:r>
            <w:r>
              <w:rPr>
                <w:rFonts w:hint="eastAsia" w:ascii="仿宋_GB2312" w:hAnsi="仿宋_GB2312" w:cs="仿宋_GB2312"/>
                <w:sz w:val="21"/>
                <w:szCs w:val="21"/>
              </w:rPr>
              <w:t>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39</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操作非密封放射性同位素的实验室</w:t>
            </w:r>
            <w:r>
              <w:rPr>
                <w:rFonts w:hint="eastAsia" w:ascii="仿宋_GB2312" w:hAnsi="仿宋_GB2312" w:cs="仿宋_GB2312"/>
                <w:sz w:val="21"/>
                <w:szCs w:val="21"/>
                <w:shd w:val="clear" w:color="auto" w:fill="FFFFFF"/>
              </w:rPr>
              <w:t>设置</w:t>
            </w:r>
            <w:r>
              <w:rPr>
                <w:rFonts w:hint="eastAsia" w:ascii="仿宋_GB2312" w:hAnsi="仿宋_GB2312" w:cs="仿宋_GB2312"/>
                <w:bCs/>
                <w:sz w:val="21"/>
                <w:szCs w:val="21"/>
              </w:rPr>
              <w:t>、布局、环境及管理</w:t>
            </w:r>
            <w:r>
              <w:rPr>
                <w:rFonts w:hint="eastAsia" w:ascii="仿宋_GB2312" w:hAnsi="仿宋_GB2312" w:cs="仿宋_GB2312"/>
                <w:sz w:val="21"/>
                <w:szCs w:val="21"/>
                <w:shd w:val="clear" w:color="auto" w:fill="FFFFFF"/>
              </w:rPr>
              <w:t>应满足要求</w:t>
            </w:r>
            <w:r>
              <w:rPr>
                <w:rFonts w:hint="eastAsia" w:ascii="仿宋_GB2312" w:hAnsi="仿宋_GB2312" w:cs="仿宋_GB2312"/>
                <w:kern w:val="0"/>
                <w:sz w:val="21"/>
                <w:szCs w:val="21"/>
              </w:rPr>
              <w:t>。</w:t>
            </w:r>
          </w:p>
        </w:tc>
        <w:tc>
          <w:tcPr>
            <w:tcW w:w="5641" w:type="dxa"/>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bCs/>
                <w:sz w:val="21"/>
                <w:szCs w:val="21"/>
              </w:rPr>
              <w:t>现场察看</w:t>
            </w:r>
            <w:r>
              <w:rPr>
                <w:rFonts w:hint="eastAsia" w:ascii="仿宋_GB2312" w:hAnsi="仿宋_GB2312" w:cs="仿宋_GB2312"/>
                <w:kern w:val="0"/>
                <w:sz w:val="21"/>
                <w:szCs w:val="21"/>
              </w:rPr>
              <w:t>非密封放射性同位素实验室</w:t>
            </w:r>
            <w:r>
              <w:rPr>
                <w:rFonts w:hint="eastAsia" w:ascii="仿宋_GB2312" w:hAnsi="仿宋_GB2312" w:cs="仿宋_GB2312"/>
                <w:sz w:val="21"/>
                <w:szCs w:val="21"/>
                <w:shd w:val="clear" w:color="auto" w:fill="FFFFFF"/>
              </w:rPr>
              <w:t>的设置</w:t>
            </w:r>
            <w:r>
              <w:rPr>
                <w:rFonts w:hint="eastAsia" w:ascii="仿宋_GB2312" w:hAnsi="仿宋_GB2312" w:cs="仿宋_GB2312"/>
                <w:bCs/>
                <w:sz w:val="21"/>
                <w:szCs w:val="21"/>
              </w:rPr>
              <w:t>、布局、环境及管理措施，</w:t>
            </w:r>
            <w:r>
              <w:rPr>
                <w:rFonts w:hint="eastAsia" w:ascii="仿宋_GB2312" w:hAnsi="仿宋_GB2312" w:cs="仿宋_GB2312"/>
                <w:sz w:val="21"/>
                <w:szCs w:val="21"/>
                <w:shd w:val="clear" w:color="auto" w:fill="FFFFFF"/>
              </w:rPr>
              <w:t>要求：</w:t>
            </w:r>
          </w:p>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1.设置满足放射性物质要求的通风设备；</w:t>
            </w:r>
          </w:p>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2.实验室地面、实验台应便于去除放射性污染；</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3.</w:t>
            </w:r>
            <w:r>
              <w:rPr>
                <w:rFonts w:hint="eastAsia" w:ascii="仿宋_GB2312" w:hAnsi="仿宋_GB2312" w:cs="仿宋_GB2312"/>
                <w:bCs/>
                <w:sz w:val="21"/>
                <w:szCs w:val="21"/>
              </w:rPr>
              <w:t>应按照相关要求设置分区管理。</w:t>
            </w:r>
          </w:p>
        </w:tc>
        <w:tc>
          <w:tcPr>
            <w:tcW w:w="834" w:type="dxa"/>
            <w:noWrap w:val="0"/>
            <w:tcMar>
              <w:top w:w="15" w:type="dxa"/>
              <w:left w:w="15" w:type="dxa"/>
              <w:right w:w="15" w:type="dxa"/>
            </w:tcMar>
            <w:vAlign w:val="center"/>
          </w:tcPr>
          <w:p>
            <w:pPr>
              <w:widowControl/>
              <w:adjustRightInd w:val="0"/>
              <w:snapToGrid w:val="0"/>
              <w:spacing w:line="264" w:lineRule="exact"/>
              <w:jc w:val="both"/>
              <w:textAlignment w:val="auto"/>
              <w:rPr>
                <w:rFonts w:hint="eastAsia" w:ascii="仿宋_GB2312" w:hAnsi="仿宋_GB2312" w:cs="仿宋_GB2312"/>
                <w:bCs/>
                <w:kern w:val="2"/>
                <w:sz w:val="21"/>
                <w:szCs w:val="21"/>
              </w:rPr>
            </w:pPr>
            <w:r>
              <w:rPr>
                <w:rFonts w:hint="eastAsia" w:ascii="仿宋_GB2312" w:hAnsi="仿宋_GB2312" w:cs="仿宋_GB2312"/>
                <w:bCs/>
                <w:sz w:val="21"/>
                <w:szCs w:val="21"/>
              </w:rPr>
              <w:t>各项</w:t>
            </w:r>
            <w:r>
              <w:rPr>
                <w:rFonts w:hint="eastAsia" w:ascii="仿宋_GB2312" w:hAnsi="仿宋_GB2312" w:cs="仿宋_GB2312"/>
                <w:bCs/>
                <w:kern w:val="2"/>
                <w:sz w:val="21"/>
                <w:szCs w:val="21"/>
              </w:rPr>
              <w:t>均符合要求。</w:t>
            </w:r>
          </w:p>
        </w:tc>
        <w:tc>
          <w:tcPr>
            <w:tcW w:w="1005" w:type="dxa"/>
            <w:noWrap w:val="0"/>
            <w:tcMar>
              <w:top w:w="15" w:type="dxa"/>
              <w:left w:w="15" w:type="dxa"/>
              <w:right w:w="15" w:type="dxa"/>
            </w:tcMar>
            <w:vAlign w:val="center"/>
          </w:tcPr>
          <w:p>
            <w:pPr>
              <w:widowControl/>
              <w:adjustRightInd w:val="0"/>
              <w:snapToGrid w:val="0"/>
              <w:spacing w:line="264" w:lineRule="exact"/>
              <w:textAlignment w:val="auto"/>
              <w:rPr>
                <w:rFonts w:hint="eastAsia" w:ascii="仿宋_GB2312" w:hAnsi="仿宋_GB2312" w:cs="仿宋_GB2312"/>
                <w:bCs/>
                <w:kern w:val="2"/>
                <w:sz w:val="21"/>
                <w:szCs w:val="21"/>
              </w:rPr>
            </w:pPr>
            <w:r>
              <w:rPr>
                <w:rFonts w:hint="eastAsia" w:ascii="仿宋_GB2312" w:hAnsi="仿宋_GB2312" w:cs="仿宋_GB2312"/>
                <w:bCs/>
                <w:kern w:val="2"/>
                <w:sz w:val="21"/>
                <w:szCs w:val="21"/>
              </w:rPr>
              <w:t>有一项以上基本符合要求，其余项均符合要求。</w:t>
            </w:r>
          </w:p>
        </w:tc>
        <w:tc>
          <w:tcPr>
            <w:tcW w:w="1017" w:type="dxa"/>
            <w:noWrap w:val="0"/>
            <w:tcMar>
              <w:top w:w="15" w:type="dxa"/>
              <w:left w:w="15" w:type="dxa"/>
              <w:right w:w="15" w:type="dxa"/>
            </w:tcMar>
            <w:vAlign w:val="center"/>
          </w:tcPr>
          <w:p>
            <w:pPr>
              <w:widowControl/>
              <w:adjustRightInd w:val="0"/>
              <w:snapToGrid w:val="0"/>
              <w:spacing w:line="264" w:lineRule="exact"/>
              <w:jc w:val="both"/>
              <w:textAlignment w:val="auto"/>
              <w:rPr>
                <w:rFonts w:hint="eastAsia" w:ascii="仿宋_GB2312" w:hAnsi="仿宋_GB2312" w:cs="仿宋_GB2312"/>
                <w:bCs/>
                <w:kern w:val="2"/>
                <w:sz w:val="21"/>
                <w:szCs w:val="21"/>
              </w:rPr>
            </w:pPr>
            <w:r>
              <w:rPr>
                <w:rFonts w:hint="eastAsia" w:ascii="仿宋_GB2312" w:hAnsi="仿宋_GB2312" w:cs="仿宋_GB2312"/>
                <w:bCs/>
                <w:kern w:val="2"/>
                <w:sz w:val="21"/>
                <w:szCs w:val="21"/>
              </w:rPr>
              <w:t>有一项以上不符合要求。</w:t>
            </w:r>
          </w:p>
        </w:tc>
        <w:tc>
          <w:tcPr>
            <w:tcW w:w="2734" w:type="dxa"/>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申请第二类核设施业务范围的审查。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40</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bCs/>
                <w:sz w:val="21"/>
                <w:szCs w:val="21"/>
              </w:rPr>
            </w:pPr>
            <w:r>
              <w:rPr>
                <w:rFonts w:hint="eastAsia" w:ascii="仿宋_GB2312" w:hAnsi="仿宋_GB2312" w:cs="仿宋_GB2312"/>
                <w:kern w:val="0"/>
                <w:sz w:val="21"/>
                <w:szCs w:val="21"/>
              </w:rPr>
              <w:t>实验室管理规章制度健全，配有必要的控制进入等安全措施。</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shd w:val="clear" w:color="auto" w:fill="FFFFFF"/>
              </w:rPr>
            </w:pPr>
            <w:r>
              <w:rPr>
                <w:rFonts w:hint="eastAsia" w:ascii="仿宋_GB2312" w:hAnsi="仿宋_GB2312" w:cs="仿宋_GB2312"/>
                <w:bCs/>
                <w:sz w:val="21"/>
                <w:szCs w:val="21"/>
              </w:rPr>
              <w:t>现场察看实验区域</w:t>
            </w:r>
            <w:r>
              <w:rPr>
                <w:rFonts w:hint="eastAsia" w:ascii="仿宋_GB2312" w:hAnsi="仿宋_GB2312" w:cs="仿宋_GB2312"/>
                <w:sz w:val="21"/>
                <w:szCs w:val="21"/>
                <w:shd w:val="clear" w:color="auto" w:fill="FFFFFF"/>
              </w:rPr>
              <w:t>控制进入的设施和</w:t>
            </w:r>
            <w:r>
              <w:rPr>
                <w:rFonts w:hint="eastAsia" w:ascii="仿宋_GB2312" w:hAnsi="仿宋_GB2312" w:cs="仿宋_GB2312"/>
                <w:bCs/>
                <w:sz w:val="21"/>
                <w:szCs w:val="21"/>
              </w:rPr>
              <w:t>管理措施，</w:t>
            </w:r>
            <w:r>
              <w:rPr>
                <w:rFonts w:hint="eastAsia" w:ascii="仿宋_GB2312" w:hAnsi="仿宋_GB2312" w:cs="仿宋_GB2312"/>
                <w:sz w:val="21"/>
                <w:szCs w:val="21"/>
                <w:shd w:val="clear" w:color="auto" w:fill="FFFFFF"/>
              </w:rPr>
              <w:t>要求：</w:t>
            </w:r>
          </w:p>
          <w:p>
            <w:pPr>
              <w:adjustRightInd w:val="0"/>
              <w:snapToGrid w:val="0"/>
              <w:spacing w:line="264" w:lineRule="exact"/>
              <w:jc w:val="left"/>
              <w:rPr>
                <w:rFonts w:hint="eastAsia" w:ascii="仿宋_GB2312" w:hAnsi="仿宋_GB2312" w:cs="仿宋_GB2312"/>
                <w:sz w:val="21"/>
                <w:szCs w:val="21"/>
                <w:shd w:val="clear" w:color="auto" w:fill="FFFFFF"/>
              </w:rPr>
            </w:pPr>
            <w:r>
              <w:rPr>
                <w:rFonts w:hint="eastAsia" w:ascii="仿宋_GB2312" w:hAnsi="仿宋_GB2312" w:cs="仿宋_GB2312"/>
                <w:sz w:val="21"/>
                <w:szCs w:val="21"/>
                <w:shd w:val="clear" w:color="auto" w:fill="FFFFFF"/>
              </w:rPr>
              <w:t>1.有实验区域控制进入的管理制度；</w:t>
            </w:r>
          </w:p>
          <w:p>
            <w:pPr>
              <w:adjustRightInd w:val="0"/>
              <w:snapToGrid w:val="0"/>
              <w:spacing w:line="264" w:lineRule="exact"/>
              <w:jc w:val="left"/>
              <w:rPr>
                <w:rFonts w:hint="eastAsia" w:ascii="仿宋_GB2312" w:hAnsi="仿宋_GB2312" w:cs="仿宋_GB2312"/>
                <w:sz w:val="21"/>
                <w:szCs w:val="21"/>
                <w:shd w:val="clear" w:color="auto" w:fill="FFFFFF"/>
              </w:rPr>
            </w:pPr>
            <w:r>
              <w:rPr>
                <w:rFonts w:hint="eastAsia" w:ascii="仿宋_GB2312" w:hAnsi="仿宋_GB2312" w:cs="仿宋_GB2312"/>
                <w:sz w:val="21"/>
                <w:szCs w:val="21"/>
                <w:shd w:val="clear" w:color="auto" w:fill="FFFFFF"/>
              </w:rPr>
              <w:t>2.入口处应有限制无关人员进入的标识及管理措施；</w:t>
            </w:r>
          </w:p>
          <w:p>
            <w:pPr>
              <w:adjustRightInd w:val="0"/>
              <w:snapToGrid w:val="0"/>
              <w:spacing w:line="264" w:lineRule="exact"/>
              <w:jc w:val="left"/>
              <w:rPr>
                <w:rFonts w:hint="eastAsia" w:ascii="仿宋_GB2312" w:hAnsi="仿宋_GB2312" w:cs="仿宋_GB2312"/>
                <w:sz w:val="21"/>
                <w:szCs w:val="21"/>
                <w:shd w:val="clear" w:color="auto" w:fill="FFFFFF"/>
              </w:rPr>
            </w:pPr>
            <w:r>
              <w:rPr>
                <w:rFonts w:hint="eastAsia" w:ascii="仿宋_GB2312" w:hAnsi="仿宋_GB2312" w:cs="仿宋_GB2312"/>
                <w:sz w:val="21"/>
                <w:szCs w:val="21"/>
                <w:shd w:val="clear" w:color="auto" w:fill="FFFFFF"/>
              </w:rPr>
              <w:t>3.色谱室、光谱室、高温室、理化室、放射性实验室、样品处理室、样品室、试剂室、气瓶间等实验用房的醒目位置应设置警示标识。</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41</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bCs/>
                <w:sz w:val="21"/>
                <w:szCs w:val="21"/>
              </w:rPr>
            </w:pPr>
            <w:r>
              <w:rPr>
                <w:rFonts w:hint="eastAsia" w:ascii="仿宋_GB2312" w:hAnsi="仿宋_GB2312" w:cs="仿宋_GB2312"/>
                <w:bCs/>
                <w:sz w:val="21"/>
                <w:szCs w:val="21"/>
              </w:rPr>
              <w:t>实验室废弃物保管与处置制度和设施健全，废弃物处理记录完善。</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shd w:val="clear" w:color="auto" w:fill="FFFFFF"/>
              </w:rPr>
            </w:pPr>
            <w:r>
              <w:rPr>
                <w:rFonts w:hint="eastAsia" w:ascii="仿宋_GB2312" w:hAnsi="仿宋_GB2312" w:cs="仿宋_GB2312"/>
                <w:bCs/>
                <w:sz w:val="21"/>
                <w:szCs w:val="21"/>
              </w:rPr>
              <w:t>核查有关管理制度，现场察看有关管理措施落实情况，要求：</w:t>
            </w:r>
          </w:p>
          <w:p>
            <w:pPr>
              <w:numPr>
                <w:ilvl w:val="0"/>
                <w:numId w:val="0"/>
              </w:numPr>
              <w:adjustRightInd w:val="0"/>
              <w:snapToGrid w:val="0"/>
              <w:spacing w:line="264" w:lineRule="exact"/>
              <w:rPr>
                <w:rFonts w:hint="eastAsia" w:ascii="仿宋_GB2312" w:hAnsi="仿宋_GB2312" w:cs="仿宋_GB2312"/>
                <w:sz w:val="21"/>
                <w:szCs w:val="21"/>
                <w:shd w:val="clear" w:color="auto" w:fill="FFFFFF"/>
              </w:rPr>
            </w:pPr>
            <w:r>
              <w:rPr>
                <w:rFonts w:hint="eastAsia" w:ascii="仿宋_GB2312" w:hAnsi="仿宋_GB2312" w:cs="仿宋_GB2312"/>
                <w:sz w:val="21"/>
                <w:szCs w:val="21"/>
                <w:shd w:val="clear" w:color="auto" w:fill="FFFFFF"/>
                <w:lang w:val="en-US" w:eastAsia="zh-CN"/>
              </w:rPr>
              <w:t>1.</w:t>
            </w:r>
            <w:r>
              <w:rPr>
                <w:rFonts w:hint="eastAsia" w:ascii="仿宋_GB2312" w:hAnsi="仿宋_GB2312" w:cs="仿宋_GB2312"/>
                <w:sz w:val="21"/>
                <w:szCs w:val="21"/>
                <w:shd w:val="clear" w:color="auto" w:fill="FFFFFF"/>
              </w:rPr>
              <w:t>实验室产生的废液、固体废物应设置收集容器，分类收集、分开存储、定点存放；</w:t>
            </w:r>
          </w:p>
          <w:p>
            <w:pPr>
              <w:numPr>
                <w:ilvl w:val="0"/>
                <w:numId w:val="0"/>
              </w:numPr>
              <w:adjustRightInd w:val="0"/>
              <w:snapToGrid w:val="0"/>
              <w:spacing w:line="264" w:lineRule="exact"/>
              <w:jc w:val="left"/>
              <w:rPr>
                <w:rFonts w:hint="eastAsia" w:ascii="仿宋_GB2312" w:hAnsi="仿宋_GB2312" w:cs="仿宋_GB2312"/>
                <w:sz w:val="21"/>
                <w:szCs w:val="21"/>
                <w:shd w:val="clear" w:color="auto" w:fill="FFFFFF"/>
              </w:rPr>
            </w:pPr>
            <w:r>
              <w:rPr>
                <w:rFonts w:hint="eastAsia" w:ascii="仿宋_GB2312" w:hAnsi="仿宋_GB2312" w:cs="仿宋_GB2312"/>
                <w:bCs/>
                <w:sz w:val="21"/>
                <w:szCs w:val="21"/>
                <w:lang w:val="en-US" w:eastAsia="zh-CN"/>
              </w:rPr>
              <w:t>2.</w:t>
            </w:r>
            <w:r>
              <w:rPr>
                <w:rFonts w:hint="eastAsia" w:ascii="仿宋_GB2312" w:hAnsi="仿宋_GB2312" w:cs="仿宋_GB2312"/>
                <w:bCs/>
                <w:sz w:val="21"/>
                <w:szCs w:val="21"/>
              </w:rPr>
              <w:t>放射性样品</w:t>
            </w:r>
            <w:r>
              <w:rPr>
                <w:rFonts w:hint="eastAsia" w:ascii="仿宋_GB2312" w:hAnsi="仿宋_GB2312" w:cs="仿宋_GB2312"/>
                <w:kern w:val="0"/>
                <w:sz w:val="21"/>
                <w:szCs w:val="21"/>
              </w:rPr>
              <w:t>、放射性废物</w:t>
            </w:r>
            <w:r>
              <w:rPr>
                <w:rFonts w:hint="eastAsia" w:ascii="仿宋_GB2312" w:hAnsi="仿宋_GB2312" w:cs="仿宋_GB2312"/>
                <w:bCs/>
                <w:sz w:val="21"/>
                <w:szCs w:val="21"/>
              </w:rPr>
              <w:t>应有专门的存放房间或容器，</w:t>
            </w:r>
            <w:r>
              <w:rPr>
                <w:rFonts w:hint="eastAsia" w:ascii="仿宋_GB2312" w:hAnsi="仿宋_GB2312" w:cs="仿宋_GB2312"/>
                <w:kern w:val="0"/>
                <w:sz w:val="21"/>
                <w:szCs w:val="21"/>
              </w:rPr>
              <w:t>专人保管</w:t>
            </w:r>
            <w:r>
              <w:rPr>
                <w:rFonts w:hint="eastAsia" w:ascii="仿宋_GB2312" w:hAnsi="仿宋_GB2312" w:cs="仿宋_GB2312"/>
                <w:bCs/>
                <w:sz w:val="21"/>
                <w:szCs w:val="21"/>
              </w:rPr>
              <w:t>，并与其他样品、废物分开存放</w:t>
            </w:r>
            <w:r>
              <w:rPr>
                <w:rFonts w:hint="eastAsia" w:ascii="仿宋_GB2312" w:hAnsi="仿宋_GB2312" w:cs="仿宋_GB2312"/>
                <w:sz w:val="21"/>
                <w:szCs w:val="21"/>
                <w:shd w:val="clear" w:color="auto" w:fill="FFFFFF"/>
              </w:rPr>
              <w:t>（申请第二类</w:t>
            </w:r>
            <w:r>
              <w:rPr>
                <w:rFonts w:hint="eastAsia" w:ascii="仿宋_GB2312" w:hAnsi="仿宋_GB2312" w:cs="仿宋_GB2312"/>
                <w:sz w:val="21"/>
                <w:szCs w:val="21"/>
              </w:rPr>
              <w:t>核设施</w:t>
            </w:r>
            <w:r>
              <w:rPr>
                <w:rFonts w:hint="eastAsia" w:ascii="仿宋_GB2312" w:hAnsi="仿宋_GB2312" w:cs="仿宋_GB2312"/>
                <w:sz w:val="21"/>
                <w:szCs w:val="21"/>
                <w:shd w:val="clear" w:color="auto" w:fill="FFFFFF"/>
              </w:rPr>
              <w:t>业务范围的审查）</w:t>
            </w:r>
            <w:r>
              <w:rPr>
                <w:rFonts w:hint="eastAsia" w:ascii="仿宋_GB2312" w:hAnsi="仿宋_GB2312" w:cs="仿宋_GB2312"/>
                <w:bCs/>
                <w:sz w:val="21"/>
                <w:szCs w:val="21"/>
              </w:rPr>
              <w:t>；</w:t>
            </w:r>
          </w:p>
          <w:p>
            <w:pPr>
              <w:numPr>
                <w:ilvl w:val="0"/>
                <w:numId w:val="0"/>
              </w:numPr>
              <w:adjustRightInd w:val="0"/>
              <w:snapToGrid w:val="0"/>
              <w:spacing w:line="264" w:lineRule="exact"/>
              <w:jc w:val="left"/>
              <w:rPr>
                <w:rFonts w:hint="eastAsia" w:ascii="仿宋_GB2312" w:hAnsi="仿宋_GB2312" w:cs="仿宋_GB2312"/>
                <w:sz w:val="21"/>
                <w:szCs w:val="21"/>
                <w:shd w:val="clear" w:color="auto" w:fill="FFFFFF"/>
              </w:rPr>
            </w:pPr>
            <w:r>
              <w:rPr>
                <w:rFonts w:hint="eastAsia" w:ascii="仿宋_GB2312" w:hAnsi="仿宋_GB2312" w:cs="仿宋_GB2312"/>
                <w:sz w:val="21"/>
                <w:szCs w:val="21"/>
                <w:shd w:val="clear" w:color="auto" w:fill="FFFFFF"/>
                <w:lang w:val="en-US" w:eastAsia="zh-CN"/>
              </w:rPr>
              <w:t>3.</w:t>
            </w:r>
            <w:r>
              <w:rPr>
                <w:rFonts w:hint="eastAsia" w:ascii="仿宋_GB2312" w:hAnsi="仿宋_GB2312" w:cs="仿宋_GB2312"/>
                <w:sz w:val="21"/>
                <w:szCs w:val="21"/>
                <w:shd w:val="clear" w:color="auto" w:fill="FFFFFF"/>
              </w:rPr>
              <w:t>指定专人负责管理</w:t>
            </w:r>
            <w:r>
              <w:rPr>
                <w:rFonts w:hint="eastAsia" w:ascii="仿宋_GB2312" w:hAnsi="仿宋_GB2312" w:cs="仿宋_GB2312"/>
                <w:bCs/>
                <w:sz w:val="21"/>
                <w:szCs w:val="21"/>
              </w:rPr>
              <w:t>废弃物</w:t>
            </w:r>
            <w:r>
              <w:rPr>
                <w:rFonts w:hint="eastAsia" w:ascii="仿宋_GB2312" w:hAnsi="仿宋_GB2312" w:cs="仿宋_GB2312"/>
                <w:sz w:val="21"/>
                <w:szCs w:val="21"/>
                <w:shd w:val="clear" w:color="auto" w:fill="FFFFFF"/>
              </w:rPr>
              <w:t>；</w:t>
            </w:r>
          </w:p>
          <w:p>
            <w:pPr>
              <w:numPr>
                <w:ilvl w:val="0"/>
                <w:numId w:val="0"/>
              </w:numPr>
              <w:adjustRightInd w:val="0"/>
              <w:snapToGrid w:val="0"/>
              <w:spacing w:line="264" w:lineRule="exact"/>
              <w:rPr>
                <w:rFonts w:hint="eastAsia" w:ascii="仿宋_GB2312" w:hAnsi="仿宋_GB2312" w:cs="仿宋_GB2312"/>
                <w:sz w:val="21"/>
                <w:szCs w:val="21"/>
                <w:shd w:val="clear" w:color="auto" w:fill="FFFFFF"/>
              </w:rPr>
            </w:pPr>
            <w:r>
              <w:rPr>
                <w:rFonts w:hint="eastAsia" w:ascii="仿宋_GB2312" w:hAnsi="仿宋_GB2312" w:cs="仿宋_GB2312"/>
                <w:sz w:val="21"/>
                <w:szCs w:val="21"/>
                <w:shd w:val="clear" w:color="auto" w:fill="FFFFFF"/>
                <w:lang w:val="en-US" w:eastAsia="zh-CN"/>
              </w:rPr>
              <w:t>4.</w:t>
            </w:r>
            <w:r>
              <w:rPr>
                <w:rFonts w:hint="eastAsia" w:ascii="仿宋_GB2312" w:hAnsi="仿宋_GB2312" w:cs="仿宋_GB2312"/>
                <w:sz w:val="21"/>
                <w:szCs w:val="21"/>
                <w:shd w:val="clear" w:color="auto" w:fill="FFFFFF"/>
              </w:rPr>
              <w:t>按照相关要求处置</w:t>
            </w:r>
            <w:r>
              <w:rPr>
                <w:rFonts w:hint="eastAsia" w:ascii="仿宋_GB2312" w:hAnsi="仿宋_GB2312" w:cs="仿宋_GB2312"/>
                <w:bCs/>
                <w:sz w:val="21"/>
                <w:szCs w:val="21"/>
              </w:rPr>
              <w:t>废弃物</w:t>
            </w:r>
            <w:r>
              <w:rPr>
                <w:rFonts w:hint="eastAsia" w:ascii="仿宋_GB2312" w:hAnsi="仿宋_GB2312" w:cs="仿宋_GB2312"/>
                <w:sz w:val="21"/>
                <w:szCs w:val="21"/>
                <w:shd w:val="clear" w:color="auto" w:fill="FFFFFF"/>
              </w:rPr>
              <w:t>，并有相关处置记录。</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申请第一类业务范围和第二类核设施业务范围的审查。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54"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42</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bCs/>
                <w:sz w:val="21"/>
                <w:szCs w:val="21"/>
              </w:rPr>
            </w:pPr>
            <w:r>
              <w:rPr>
                <w:rFonts w:hint="eastAsia" w:ascii="仿宋_GB2312" w:hAnsi="仿宋_GB2312" w:cs="仿宋_GB2312"/>
                <w:bCs/>
                <w:sz w:val="21"/>
                <w:szCs w:val="21"/>
              </w:rPr>
              <w:t>建立应急管理制度，设置必要的应急处理措施（洗眼喷淋装置、急救箱等）。</w:t>
            </w:r>
          </w:p>
        </w:tc>
        <w:tc>
          <w:tcPr>
            <w:tcW w:w="5641" w:type="dxa"/>
            <w:noWrap w:val="0"/>
            <w:tcMar>
              <w:top w:w="15" w:type="dxa"/>
              <w:left w:w="15" w:type="dxa"/>
              <w:right w:w="15" w:type="dxa"/>
            </w:tcMar>
            <w:vAlign w:val="center"/>
          </w:tcPr>
          <w:p>
            <w:pPr>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核查有关管理制度，现场察看有关管理措施落实情况，要求：</w:t>
            </w:r>
          </w:p>
          <w:p>
            <w:pPr>
              <w:widowControl/>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shd w:val="clear" w:color="auto" w:fill="FFFFFF"/>
              </w:rPr>
              <w:t>1.制定应急预案，明确组织机构及职责、预防与管理、应急程序、后期处置等相关内容；</w:t>
            </w:r>
          </w:p>
          <w:p>
            <w:pPr>
              <w:widowControl/>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shd w:val="clear" w:color="auto" w:fill="FFFFFF"/>
              </w:rPr>
              <w:t>2.凡经常使用强酸、强碱、有化学品烧伤危险的实验室应设置洗眼器，在实验用房出口就近处或在10s内可以快步到达的实验室公共区域设置应急喷淋器，并保证应急冲洗设施能够有效使用；</w:t>
            </w:r>
          </w:p>
          <w:p>
            <w:pPr>
              <w:widowControl/>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shd w:val="clear" w:color="auto" w:fill="FFFFFF"/>
              </w:rPr>
              <w:t>3.配备应急药品箱，药品箱内应配备止血带、绷带、创可贴、医用酒精、脱脂棉签、剪刀、镊子等应急用品，且种类、数量满足相关标准要求；</w:t>
            </w:r>
          </w:p>
          <w:p>
            <w:pPr>
              <w:adjustRightInd w:val="0"/>
              <w:snapToGrid w:val="0"/>
              <w:spacing w:line="264" w:lineRule="exact"/>
              <w:jc w:val="left"/>
              <w:rPr>
                <w:rFonts w:hint="eastAsia" w:ascii="仿宋_GB2312" w:hAnsi="仿宋_GB2312" w:cs="仿宋_GB2312"/>
                <w:sz w:val="21"/>
                <w:szCs w:val="21"/>
                <w:shd w:val="clear" w:color="auto" w:fill="FFFFFF"/>
              </w:rPr>
            </w:pPr>
            <w:r>
              <w:rPr>
                <w:rFonts w:hint="eastAsia" w:ascii="仿宋_GB2312" w:hAnsi="仿宋_GB2312" w:cs="仿宋_GB2312"/>
                <w:sz w:val="21"/>
                <w:szCs w:val="21"/>
                <w:shd w:val="clear" w:color="auto" w:fill="FFFFFF"/>
              </w:rPr>
              <w:t>4.应设置紧急疏散通道及标识，在室内及走廊上安装应急灯。</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申请第一类业务范围的审查。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43</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bCs/>
                <w:sz w:val="21"/>
                <w:szCs w:val="21"/>
              </w:rPr>
            </w:pPr>
            <w:r>
              <w:rPr>
                <w:rFonts w:hint="eastAsia" w:ascii="仿宋_GB2312" w:hAnsi="仿宋_GB2312" w:cs="仿宋_GB2312"/>
                <w:bCs/>
                <w:sz w:val="21"/>
                <w:szCs w:val="21"/>
              </w:rPr>
              <w:t>应为专业技术人员配备个人防护用品（防尘、毒口罩，眼镜，手套等）。</w:t>
            </w:r>
          </w:p>
        </w:tc>
        <w:tc>
          <w:tcPr>
            <w:tcW w:w="5641" w:type="dxa"/>
            <w:noWrap w:val="0"/>
            <w:tcMar>
              <w:top w:w="15" w:type="dxa"/>
              <w:left w:w="15" w:type="dxa"/>
              <w:right w:w="15" w:type="dxa"/>
            </w:tcMar>
            <w:vAlign w:val="center"/>
          </w:tcPr>
          <w:p>
            <w:pPr>
              <w:widowControl/>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核查有关管理制度，现场察看有关管理措施落实情况，要求：</w:t>
            </w:r>
          </w:p>
          <w:p>
            <w:pPr>
              <w:widowControl/>
              <w:adjustRightInd w:val="0"/>
              <w:snapToGrid w:val="0"/>
              <w:spacing w:line="264" w:lineRule="exact"/>
              <w:jc w:val="left"/>
              <w:rPr>
                <w:rFonts w:hint="eastAsia" w:ascii="仿宋_GB2312" w:hAnsi="仿宋_GB2312" w:cs="仿宋_GB2312"/>
                <w:kern w:val="0"/>
                <w:sz w:val="21"/>
                <w:szCs w:val="21"/>
                <w:shd w:val="clear" w:color="auto" w:fill="FFFFFF"/>
              </w:rPr>
            </w:pPr>
            <w:r>
              <w:rPr>
                <w:rFonts w:hint="eastAsia" w:ascii="仿宋_GB2312" w:hAnsi="仿宋_GB2312" w:cs="仿宋_GB2312"/>
                <w:kern w:val="0"/>
                <w:sz w:val="21"/>
                <w:szCs w:val="21"/>
                <w:shd w:val="clear" w:color="auto" w:fill="FFFFFF"/>
              </w:rPr>
              <w:t>1.应为现场采样和实验室分析人员配备必要的个体防护用品；</w:t>
            </w:r>
          </w:p>
          <w:p>
            <w:pPr>
              <w:widowControl/>
              <w:adjustRightInd w:val="0"/>
              <w:snapToGrid w:val="0"/>
              <w:spacing w:line="264" w:lineRule="exact"/>
              <w:jc w:val="left"/>
              <w:rPr>
                <w:rFonts w:hint="eastAsia" w:ascii="仿宋_GB2312" w:hAnsi="仿宋_GB2312" w:cs="仿宋_GB2312"/>
                <w:kern w:val="0"/>
                <w:sz w:val="21"/>
                <w:szCs w:val="21"/>
                <w:shd w:val="clear" w:color="auto" w:fill="FFFFFF"/>
              </w:rPr>
            </w:pPr>
            <w:r>
              <w:rPr>
                <w:rFonts w:hint="eastAsia" w:ascii="仿宋_GB2312" w:hAnsi="仿宋_GB2312" w:cs="仿宋_GB2312"/>
                <w:kern w:val="0"/>
                <w:sz w:val="21"/>
                <w:szCs w:val="21"/>
                <w:shd w:val="clear" w:color="auto" w:fill="FFFFFF"/>
              </w:rPr>
              <w:t>2.定期更换，保证防护用品的有效性；</w:t>
            </w:r>
          </w:p>
          <w:p>
            <w:pPr>
              <w:widowControl/>
              <w:adjustRightInd w:val="0"/>
              <w:snapToGrid w:val="0"/>
              <w:spacing w:line="264" w:lineRule="exact"/>
              <w:jc w:val="left"/>
              <w:rPr>
                <w:rFonts w:hint="eastAsia" w:ascii="仿宋_GB2312" w:hAnsi="仿宋_GB2312" w:cs="仿宋_GB2312"/>
                <w:kern w:val="0"/>
                <w:sz w:val="21"/>
                <w:szCs w:val="21"/>
                <w:shd w:val="clear" w:color="auto" w:fill="FFFFFF"/>
              </w:rPr>
            </w:pPr>
            <w:r>
              <w:rPr>
                <w:rFonts w:hint="eastAsia" w:ascii="仿宋_GB2312" w:hAnsi="仿宋_GB2312" w:cs="仿宋_GB2312"/>
                <w:kern w:val="0"/>
                <w:sz w:val="21"/>
                <w:szCs w:val="21"/>
                <w:shd w:val="clear" w:color="auto" w:fill="FFFFFF"/>
              </w:rPr>
              <w:t>3.应按照有关法规标准对从事放射卫生检测工作的专业技术人员进行个人剂量监测（申请第二类业务范围的审查）。</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restart"/>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4．仪器设备、标准物质</w:t>
            </w:r>
          </w:p>
        </w:tc>
        <w:tc>
          <w:tcPr>
            <w:tcW w:w="584" w:type="dxa"/>
            <w:vMerge w:val="restart"/>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仪器设备配备</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44</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★具有申请资质、业务范围所规定的实验室检验及现场检测设备，仪器设备应有购置凭证，停用设备不计入有效设备。</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现场察看、核查档案或记录等，要求：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1.申请资质、业务范围必配仪器设备</w:t>
            </w:r>
            <w:r>
              <w:rPr>
                <w:rFonts w:hint="eastAsia" w:ascii="仿宋_GB2312" w:hAnsi="仿宋_GB2312" w:cs="仿宋_GB2312"/>
                <w:kern w:val="0"/>
                <w:sz w:val="21"/>
                <w:szCs w:val="21"/>
              </w:rPr>
              <w:t>（附录3）</w:t>
            </w:r>
            <w:r>
              <w:rPr>
                <w:rFonts w:hint="eastAsia" w:ascii="仿宋_GB2312" w:hAnsi="仿宋_GB2312" w:cs="仿宋_GB2312"/>
                <w:bCs/>
                <w:sz w:val="21"/>
                <w:szCs w:val="21"/>
              </w:rPr>
              <w:t>的种类和数量符合要求；</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2.所有仪器设备均应有购置凭证。</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45</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仪器设备及其配套设施的种类、数量、性能、量程、精度等技术指标应满足检测标准方法的要求。</w:t>
            </w:r>
          </w:p>
        </w:tc>
        <w:tc>
          <w:tcPr>
            <w:tcW w:w="5641"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核查仪器设备配置，抽查现场采样、现场检测和实验室检测设备至少20台，要求：</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所有仪器设备的性能、量程和精度良好，并能正常运行。</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所有设备均符合要求。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bCs/>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一台以上设备不符合要求或运行异常。</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申请第二类业务范围的，</w:t>
            </w:r>
            <w:r>
              <w:rPr>
                <w:rFonts w:hint="eastAsia" w:ascii="仿宋_GB2312" w:hAnsi="仿宋_GB2312" w:cs="仿宋_GB2312"/>
                <w:bCs/>
                <w:sz w:val="21"/>
                <w:szCs w:val="21"/>
              </w:rPr>
              <w:t>抽查现场采样、现场检测和实验室检测设备应</w:t>
            </w:r>
            <w:r>
              <w:rPr>
                <w:rFonts w:hint="eastAsia" w:ascii="仿宋_GB2312" w:hAnsi="仿宋_GB2312" w:cs="仿宋_GB2312"/>
                <w:sz w:val="21"/>
                <w:szCs w:val="21"/>
              </w:rPr>
              <w:t>不少于5台。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restart"/>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仪器设备管理</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46</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按年度计划开展仪器设备检定和期间核查，并及时更换仪器设备状态标识。</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核查仪器设备检定计划和证书、</w:t>
            </w:r>
            <w:r>
              <w:rPr>
                <w:rFonts w:hint="eastAsia" w:ascii="仿宋_GB2312" w:hAnsi="仿宋_GB2312" w:cs="仿宋_GB2312"/>
                <w:kern w:val="0"/>
                <w:sz w:val="21"/>
                <w:szCs w:val="21"/>
              </w:rPr>
              <w:t>期间核查相关记录</w:t>
            </w:r>
            <w:r>
              <w:rPr>
                <w:rFonts w:hint="eastAsia" w:ascii="仿宋_GB2312" w:hAnsi="仿宋_GB2312" w:cs="仿宋_GB2312"/>
                <w:bCs/>
                <w:sz w:val="21"/>
                <w:szCs w:val="21"/>
              </w:rPr>
              <w:t>，要求：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1.按照计划开展仪器设备检定，且在有效期内；</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2.按照期间核查程序和核查计划，开展仪器设备期间核查，并详细记录；</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3.仪器设备显著位置贴有正确的状态标识。</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未列入强检目录的设备，可以开展校准。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47</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仪器设备操作规程应具体、操作性强。</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抽查至少10台主要仪器设备的操作规程，要求：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1.有操作规程，内容详细完整，操作性强；</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2.放置位置应便于仪器使用人员取用；</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3.</w:t>
            </w:r>
            <w:r>
              <w:rPr>
                <w:rFonts w:hint="eastAsia" w:ascii="仿宋_GB2312" w:hAnsi="仿宋_GB2312" w:cs="仿宋_GB2312"/>
                <w:kern w:val="0"/>
                <w:sz w:val="21"/>
                <w:szCs w:val="21"/>
              </w:rPr>
              <w:t>按照操作规程使用、核查和维护保养仪器设备，并详细记录。</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kern w:val="0"/>
                <w:sz w:val="21"/>
                <w:szCs w:val="21"/>
              </w:rPr>
              <w:t>仪器设备操作规程可以在作业指导书中规定。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48</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规范建立仪器设备档案，</w:t>
            </w:r>
            <w:r>
              <w:rPr>
                <w:rFonts w:hint="eastAsia" w:ascii="仿宋_GB2312" w:hAnsi="仿宋_GB2312" w:cs="仿宋_GB2312"/>
                <w:bCs/>
                <w:sz w:val="21"/>
                <w:szCs w:val="21"/>
              </w:rPr>
              <w:t>档案内容材料齐全</w:t>
            </w:r>
            <w:r>
              <w:rPr>
                <w:rFonts w:hint="eastAsia" w:ascii="仿宋_GB2312" w:hAnsi="仿宋_GB2312" w:cs="仿宋_GB2312"/>
                <w:kern w:val="0"/>
                <w:sz w:val="21"/>
                <w:szCs w:val="21"/>
              </w:rPr>
              <w:t>。</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核查主要仪器设备档案，要求：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1.必配仪器设备</w:t>
            </w:r>
            <w:r>
              <w:rPr>
                <w:rFonts w:hint="eastAsia" w:ascii="仿宋_GB2312" w:hAnsi="仿宋_GB2312" w:cs="仿宋_GB2312"/>
                <w:kern w:val="0"/>
                <w:sz w:val="21"/>
                <w:szCs w:val="21"/>
              </w:rPr>
              <w:t>（附录3）均</w:t>
            </w:r>
            <w:r>
              <w:rPr>
                <w:rFonts w:hint="eastAsia" w:ascii="仿宋_GB2312" w:hAnsi="仿宋_GB2312" w:cs="仿宋_GB2312"/>
                <w:bCs/>
                <w:sz w:val="21"/>
                <w:szCs w:val="21"/>
              </w:rPr>
              <w:t>建立了设备档案；</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2.设备档案内容齐全，</w:t>
            </w:r>
            <w:r>
              <w:rPr>
                <w:rFonts w:hint="eastAsia" w:ascii="仿宋_GB2312" w:hAnsi="仿宋_GB2312" w:cs="仿宋_GB2312"/>
                <w:kern w:val="0"/>
                <w:sz w:val="21"/>
                <w:szCs w:val="21"/>
              </w:rPr>
              <w:t>至少包括购置凭证（特殊情况应有证明材料）、验收、核查、检定或校准、期间核查、维修维护、使用记录等资料，</w:t>
            </w:r>
            <w:r>
              <w:rPr>
                <w:rFonts w:hint="eastAsia" w:ascii="仿宋_GB2312" w:hAnsi="仿宋_GB2312" w:cs="仿宋_GB2312"/>
                <w:bCs/>
                <w:sz w:val="21"/>
                <w:szCs w:val="21"/>
              </w:rPr>
              <w:t>仪器设备应有唯一性编号。</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设备当年使用记录可不存放在设备档案中。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标准物质管理</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49</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根据检测项目参数，有效配置溯源标准，并规范管理。</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现场察看、核查档案或记录等，要求：</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1.申请的检测项目参数，应配置相应溯源标准；</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2.溯源标准能溯源至国际单位制（SI）单位或国家有证标准物质。没有国家有证标准物质的，应能溯源至质谱纯、色谱纯或光谱纯试剂；</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3.对溯源标准的购置、期间核查、配制和使用等过程进行规范管理，如实记录并妥善保管相关过程记录材料。</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耗材管理</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50</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对耗材的购置、验收、储存、使用和处置等过程规范管理并详细记录。</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核查相关记录和档案材料，要求：</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1.对耗材的购置、验收、储存、使用和处置等过程进行规范管理；</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kern w:val="0"/>
                <w:sz w:val="21"/>
                <w:szCs w:val="21"/>
              </w:rPr>
              <w:t>2.如实记录并妥善保管相关过程记录材料。</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5.技术服务能力</w:t>
            </w:r>
          </w:p>
          <w:p>
            <w:pPr>
              <w:widowControl/>
              <w:adjustRightInd w:val="0"/>
              <w:snapToGrid w:val="0"/>
              <w:spacing w:line="264" w:lineRule="exact"/>
              <w:jc w:val="left"/>
              <w:textAlignment w:val="center"/>
              <w:rPr>
                <w:rFonts w:hint="eastAsia" w:ascii="仿宋_GB2312" w:hAnsi="仿宋_GB2312" w:cs="仿宋_GB2312"/>
                <w:kern w:val="0"/>
                <w:sz w:val="21"/>
                <w:szCs w:val="21"/>
              </w:rPr>
            </w:pPr>
          </w:p>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职业病危害因素检测能力</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51</w:t>
            </w:r>
          </w:p>
        </w:tc>
        <w:tc>
          <w:tcPr>
            <w:tcW w:w="2420" w:type="dxa"/>
            <w:gridSpan w:val="2"/>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kern w:val="0"/>
                <w:sz w:val="21"/>
                <w:szCs w:val="21"/>
              </w:rPr>
            </w:pPr>
            <w:r>
              <w:rPr>
                <w:rFonts w:hint="eastAsia" w:ascii="仿宋_GB2312" w:hAnsi="仿宋_GB2312" w:cs="仿宋_GB2312"/>
                <w:kern w:val="0"/>
                <w:sz w:val="21"/>
                <w:szCs w:val="21"/>
              </w:rPr>
              <w:t>★申请单位应独立完成盲样检测，并在48小时内向专家组提交检测报告。</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根据申请的业务范围，申请单位应独立完成盲样检测，要求：</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1.盲样检测过程和检测结果经专家评审符合要求；</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2.规范出具盲样考核检测报告。</w:t>
            </w:r>
          </w:p>
        </w:tc>
        <w:tc>
          <w:tcPr>
            <w:tcW w:w="834"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kern w:val="0"/>
                <w:sz w:val="21"/>
                <w:szCs w:val="21"/>
              </w:rPr>
            </w:pPr>
            <w:r>
              <w:rPr>
                <w:rFonts w:hint="eastAsia" w:ascii="仿宋_GB2312" w:hAnsi="仿宋_GB2312" w:cs="仿宋_GB2312"/>
                <w:kern w:val="0"/>
                <w:sz w:val="21"/>
                <w:szCs w:val="21"/>
              </w:rPr>
              <w:t>全部盲样检测结果和检测过程符合要求。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kern w:val="0"/>
                <w:sz w:val="21"/>
                <w:szCs w:val="21"/>
              </w:rPr>
            </w:pPr>
            <w:r>
              <w:rPr>
                <w:rFonts w:hint="eastAsia" w:ascii="仿宋_GB2312" w:hAnsi="仿宋_GB2312" w:cs="仿宋_GB2312"/>
                <w:kern w:val="0"/>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kern w:val="0"/>
                <w:sz w:val="21"/>
                <w:szCs w:val="21"/>
              </w:rPr>
            </w:pPr>
            <w:r>
              <w:rPr>
                <w:rFonts w:hint="eastAsia" w:ascii="仿宋_GB2312" w:hAnsi="仿宋_GB2312" w:cs="仿宋_GB2312"/>
                <w:kern w:val="0"/>
                <w:sz w:val="21"/>
                <w:szCs w:val="21"/>
                <w:lang w:val="en-US" w:eastAsia="zh-CN"/>
              </w:rPr>
              <w:t>一</w:t>
            </w:r>
            <w:r>
              <w:rPr>
                <w:rFonts w:hint="eastAsia" w:ascii="仿宋_GB2312" w:hAnsi="仿宋_GB2312" w:cs="仿宋_GB2312"/>
                <w:kern w:val="0"/>
                <w:sz w:val="21"/>
                <w:szCs w:val="21"/>
              </w:rPr>
              <w:t>项以上盲样检测结果或检测过程不符合要求。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1.申请第一类业务</w:t>
            </w:r>
            <w:r>
              <w:rPr>
                <w:rFonts w:hint="eastAsia" w:ascii="仿宋_GB2312" w:hAnsi="仿宋_GB2312" w:cs="仿宋_GB2312"/>
                <w:kern w:val="0"/>
                <w:sz w:val="21"/>
                <w:szCs w:val="21"/>
                <w:lang w:val="en-US" w:eastAsia="zh-CN"/>
              </w:rPr>
              <w:t>范</w:t>
            </w:r>
            <w:r>
              <w:rPr>
                <w:rFonts w:hint="eastAsia" w:ascii="仿宋_GB2312" w:hAnsi="仿宋_GB2312" w:cs="仿宋_GB2312"/>
                <w:kern w:val="0"/>
                <w:sz w:val="21"/>
                <w:szCs w:val="21"/>
              </w:rPr>
              <w:t>围的，根据申请的业务范围，可考核金属类、非金属类、有机类、粉尘类（含游离二氧化硅测定）等样品，盲样考核应覆盖主要检测方法和仪器设备，考核项目数一般为5-10项（考核标注 “★”的重点检测项目）。</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2.申请第二类核设施业务范围的，考核γ核素分析盲样。</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3.申请第二类核技术工业应用业务范围的，不考核盲样。</w:t>
            </w:r>
          </w:p>
        </w:tc>
      </w:tr>
    </w:tbl>
    <w:p>
      <w:pPr>
        <w:rPr>
          <w:ins w:id="0" w:author="赵士雄" w:date="2021-09-21T15:09:26Z"/>
        </w:rPr>
      </w:pPr>
      <w:ins w:id="1" w:author="赵士雄" w:date="2021-09-21T15:09:26Z">
        <w:r>
          <w:rPr/>
          <w:br w:type="page"/>
        </w:r>
      </w:ins>
    </w:p>
    <w:p>
      <w:pPr>
        <w:pStyle w:val="2"/>
        <w:rPr>
          <w:del w:id="2" w:author="赵士雄" w:date="2021-09-21T15:09:26Z"/>
        </w:rPr>
      </w:pPr>
    </w:p>
    <w:tbl>
      <w:tblPr>
        <w:tblStyle w:val="11"/>
        <w:tblW w:w="152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50"/>
        <w:gridCol w:w="584"/>
        <w:gridCol w:w="554"/>
        <w:gridCol w:w="2420"/>
        <w:gridCol w:w="5641"/>
        <w:gridCol w:w="834"/>
        <w:gridCol w:w="1005"/>
        <w:gridCol w:w="1017"/>
        <w:gridCol w:w="2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restart"/>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restart"/>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52</w:t>
            </w:r>
          </w:p>
        </w:tc>
        <w:tc>
          <w:tcPr>
            <w:tcW w:w="2420"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规范建立职业病危害因素检测方法。</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核查体系文件、检测方法档案材料或记录等，要求：</w:t>
            </w:r>
          </w:p>
          <w:p>
            <w:pPr>
              <w:widowControl/>
              <w:adjustRightInd w:val="0"/>
              <w:snapToGrid w:val="0"/>
              <w:spacing w:line="264" w:lineRule="exact"/>
              <w:rPr>
                <w:rFonts w:hint="eastAsia" w:ascii="仿宋_GB2312" w:hAnsi="仿宋_GB2312" w:cs="仿宋_GB2312"/>
                <w:kern w:val="0"/>
                <w:sz w:val="21"/>
                <w:szCs w:val="21"/>
              </w:rPr>
            </w:pPr>
            <w:r>
              <w:rPr>
                <w:rFonts w:hint="eastAsia" w:ascii="仿宋_GB2312" w:hAnsi="仿宋_GB2312" w:cs="仿宋_GB2312"/>
                <w:kern w:val="0"/>
                <w:sz w:val="21"/>
                <w:szCs w:val="21"/>
              </w:rPr>
              <w:t>1.按照程序规范开展检测方法验证、确认或论证，并详细记录每项检测方法建立的内容、过程和结论；（已取得CMA证书或CNAS证书的，直接认定相应职业病危害因素检测项目及参数检测能力，不重复审核检测方法建立情况。对未取得CMA证书、CNAS证书的，或CMA证书、CNAS证书未覆盖的检测项目，要审核每项职业病危害因素检测方法建立情况）</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kern w:val="0"/>
                <w:sz w:val="21"/>
                <w:szCs w:val="21"/>
              </w:rPr>
              <w:t>2.建立的每项检测方法应至少规范出具1份检测</w:t>
            </w:r>
            <w:commentRangeStart w:id="0"/>
            <w:r>
              <w:rPr>
                <w:rFonts w:hint="eastAsia" w:ascii="仿宋_GB2312" w:hAnsi="仿宋_GB2312" w:cs="仿宋_GB2312"/>
                <w:kern w:val="0"/>
                <w:sz w:val="21"/>
                <w:szCs w:val="21"/>
              </w:rPr>
              <w:t>应用报告</w:t>
            </w:r>
            <w:commentRangeEnd w:id="0"/>
            <w:r>
              <w:commentReference w:id="0"/>
            </w:r>
            <w:r>
              <w:rPr>
                <w:rFonts w:hint="eastAsia" w:ascii="仿宋_GB2312" w:hAnsi="仿宋_GB2312" w:cs="仿宋_GB2312"/>
                <w:kern w:val="0"/>
                <w:sz w:val="21"/>
                <w:szCs w:val="21"/>
              </w:rPr>
              <w:t>。</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检测应用报告可以是技术服务报告或模拟检测报告。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65"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53</w:t>
            </w:r>
          </w:p>
        </w:tc>
        <w:tc>
          <w:tcPr>
            <w:tcW w:w="2420"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★具有与所申请资质、业务范围相适应的检测能力。</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专家通过审查现场盲样考核结果、检测方法建立情况、检测原始记录、国家或省级</w:t>
            </w:r>
            <w:r>
              <w:rPr>
                <w:rFonts w:hint="eastAsia" w:ascii="仿宋_GB2312" w:hAnsi="仿宋_GB2312" w:cs="仿宋_GB2312"/>
                <w:sz w:val="21"/>
                <w:szCs w:val="21"/>
                <w:lang w:eastAsia="zh-CN"/>
              </w:rPr>
              <w:t>卫生健康行政部门</w:t>
            </w:r>
            <w:r>
              <w:rPr>
                <w:rFonts w:hint="eastAsia" w:ascii="仿宋_GB2312" w:hAnsi="仿宋_GB2312" w:cs="仿宋_GB2312"/>
                <w:sz w:val="21"/>
                <w:szCs w:val="21"/>
              </w:rPr>
              <w:t>组织的实验室间能力比对考核结果、实验室能力验证结果等资料，或开展人员实操演示等方式审核认定检测项目能力。要求：</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经专家认定，具有</w:t>
            </w:r>
            <w:r>
              <w:rPr>
                <w:rFonts w:hint="eastAsia" w:ascii="仿宋_GB2312" w:hAnsi="仿宋_GB2312" w:cs="仿宋_GB2312"/>
                <w:sz w:val="21"/>
                <w:szCs w:val="21"/>
                <w:lang w:val="en-US" w:eastAsia="zh-CN"/>
              </w:rPr>
              <w:t>与</w:t>
            </w:r>
            <w:r>
              <w:rPr>
                <w:rFonts w:hint="eastAsia" w:ascii="仿宋_GB2312" w:hAnsi="仿宋_GB2312" w:cs="仿宋_GB2312"/>
                <w:sz w:val="21"/>
                <w:szCs w:val="21"/>
              </w:rPr>
              <w:t>申请资质、业务范围相适应的检测能力（附录4、附录5）。</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sz w:val="21"/>
                <w:szCs w:val="21"/>
              </w:rPr>
              <w:t>已取得CMA、CNAS的检测项目参数，可以直接认定具备相应的检测能力。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54</w:t>
            </w:r>
          </w:p>
        </w:tc>
        <w:tc>
          <w:tcPr>
            <w:tcW w:w="2420"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检测依据、方法选用符合要求。</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申请的每项业务范围，专家现场从近年出具的检测报告中抽查2份规模以上企业的职业病危害因素检测报告和原始记录（第55-60、71-74项参照此项方法抽查报告），要求：</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1.检测依据正确且现行有效；</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2.检测方法选用正确。</w:t>
            </w:r>
          </w:p>
        </w:tc>
        <w:tc>
          <w:tcPr>
            <w:tcW w:w="834" w:type="dxa"/>
            <w:noWrap w:val="0"/>
            <w:tcMar>
              <w:top w:w="15" w:type="dxa"/>
              <w:left w:w="15" w:type="dxa"/>
              <w:right w:w="15" w:type="dxa"/>
            </w:tcMar>
            <w:vAlign w:val="center"/>
          </w:tcPr>
          <w:p>
            <w:pPr>
              <w:adjustRightInd w:val="0"/>
              <w:snapToGrid w:val="0"/>
              <w:spacing w:line="264" w:lineRule="exact"/>
              <w:jc w:val="both"/>
              <w:rPr>
                <w:rFonts w:hint="eastAsia" w:ascii="仿宋_GB2312" w:hAnsi="仿宋_GB2312" w:cs="仿宋_GB2312"/>
                <w:sz w:val="21"/>
                <w:szCs w:val="21"/>
              </w:rPr>
            </w:pPr>
            <w:r>
              <w:rPr>
                <w:rFonts w:hint="eastAsia" w:ascii="仿宋_GB2312" w:hAnsi="仿宋_GB2312" w:cs="仿宋_GB2312"/>
                <w:bCs/>
                <w:sz w:val="21"/>
                <w:szCs w:val="21"/>
              </w:rPr>
              <w:t>各项</w:t>
            </w:r>
            <w:r>
              <w:rPr>
                <w:rFonts w:hint="eastAsia" w:ascii="仿宋_GB2312" w:hAnsi="仿宋_GB2312" w:cs="仿宋_GB2312"/>
                <w:sz w:val="21"/>
                <w:szCs w:val="21"/>
              </w:rPr>
              <w:t>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jc w:val="both"/>
              <w:rPr>
                <w:rFonts w:hint="eastAsia" w:ascii="仿宋_GB2312" w:hAnsi="仿宋_GB2312" w:cs="仿宋_GB2312"/>
                <w:sz w:val="21"/>
                <w:szCs w:val="21"/>
              </w:rPr>
            </w:pPr>
            <w:r>
              <w:rPr>
                <w:rFonts w:hint="eastAsia" w:ascii="仿宋_GB2312" w:hAnsi="仿宋_GB2312" w:cs="仿宋_GB2312"/>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sz w:val="21"/>
                <w:szCs w:val="21"/>
              </w:rPr>
              <w:t>1.有一份检测报告基本符合或不符合，即判定该项基本符合或不符合（第55-60、71-74项参照此项方法判定）</w:t>
            </w:r>
            <w:r>
              <w:rPr>
                <w:rFonts w:hint="eastAsia" w:ascii="仿宋_GB2312" w:hAnsi="仿宋_GB2312" w:cs="仿宋_GB2312"/>
                <w:kern w:val="0"/>
                <w:sz w:val="21"/>
                <w:szCs w:val="21"/>
              </w:rPr>
              <w:t>；</w:t>
            </w:r>
          </w:p>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sz w:val="21"/>
                <w:szCs w:val="21"/>
              </w:rPr>
              <w:t>2.未出具正式检测报告的，抽查模拟检测报告（第55-60、71-74项参照此项要求）。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55</w:t>
            </w:r>
          </w:p>
        </w:tc>
        <w:tc>
          <w:tcPr>
            <w:tcW w:w="2420"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仪器设备选用符合要求。</w:t>
            </w:r>
          </w:p>
        </w:tc>
        <w:tc>
          <w:tcPr>
            <w:tcW w:w="5641" w:type="dxa"/>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核查现场采样、现场检测和实验室检测分析选用的仪器设备，要求：</w:t>
            </w:r>
          </w:p>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1.选用的仪器设备种类符合有关标准要求；</w:t>
            </w:r>
          </w:p>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2.选用的仪器设备的性能、量程、精度应满足相应技术服务需要；</w:t>
            </w:r>
          </w:p>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3.仪器设备使用记录准确规范。</w:t>
            </w:r>
          </w:p>
        </w:tc>
        <w:tc>
          <w:tcPr>
            <w:tcW w:w="834" w:type="dxa"/>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bCs/>
                <w:sz w:val="21"/>
                <w:szCs w:val="21"/>
              </w:rPr>
            </w:pPr>
            <w:r>
              <w:rPr>
                <w:rFonts w:hint="eastAsia" w:ascii="仿宋_GB2312" w:hAnsi="仿宋_GB2312" w:cs="仿宋_GB2312"/>
                <w:bCs/>
                <w:sz w:val="21"/>
                <w:szCs w:val="21"/>
              </w:rPr>
              <w:t>各项</w:t>
            </w:r>
            <w:r>
              <w:rPr>
                <w:rFonts w:hint="eastAsia" w:ascii="仿宋_GB2312" w:hAnsi="仿宋_GB2312" w:cs="仿宋_GB2312"/>
                <w:kern w:val="0"/>
                <w:sz w:val="21"/>
                <w:szCs w:val="21"/>
              </w:rPr>
              <w:t>均符合要求。</w:t>
            </w:r>
          </w:p>
        </w:tc>
        <w:tc>
          <w:tcPr>
            <w:tcW w:w="1005"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bCs/>
                <w:sz w:val="21"/>
                <w:szCs w:val="21"/>
              </w:rPr>
            </w:pPr>
            <w:r>
              <w:rPr>
                <w:rFonts w:hint="eastAsia" w:ascii="仿宋_GB2312" w:hAnsi="仿宋_GB2312" w:cs="仿宋_GB2312"/>
                <w:kern w:val="0"/>
                <w:sz w:val="21"/>
                <w:szCs w:val="21"/>
              </w:rPr>
              <w:t>有一项以上基本符合要求，其余项均符合要求。</w:t>
            </w:r>
          </w:p>
        </w:tc>
        <w:tc>
          <w:tcPr>
            <w:tcW w:w="1017" w:type="dxa"/>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56-1</w:t>
            </w:r>
          </w:p>
        </w:tc>
        <w:tc>
          <w:tcPr>
            <w:tcW w:w="2420" w:type="dxa"/>
            <w:vMerge w:val="restart"/>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现场采样和现场检测方法正确，记录信息规范、清晰、完整。</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核查现场采样、现场检测原始记录，要求：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1.现场采样方法、采样频次、采样时间、采样布点、采样数量和采样流量等符合有关标准、规范的要求；</w:t>
            </w:r>
          </w:p>
          <w:p>
            <w:pPr>
              <w:adjustRightInd w:val="0"/>
              <w:snapToGrid w:val="0"/>
              <w:spacing w:line="264" w:lineRule="exact"/>
              <w:jc w:val="left"/>
              <w:rPr>
                <w:rFonts w:hint="eastAsia" w:ascii="仿宋_GB2312" w:hAnsi="仿宋_GB2312" w:eastAsia="仿宋_GB2312" w:cs="仿宋_GB2312"/>
                <w:bCs/>
                <w:sz w:val="21"/>
                <w:szCs w:val="21"/>
                <w:lang w:eastAsia="zh-CN"/>
              </w:rPr>
            </w:pPr>
            <w:r>
              <w:rPr>
                <w:rFonts w:hint="eastAsia" w:ascii="仿宋_GB2312" w:hAnsi="仿宋_GB2312" w:cs="仿宋_GB2312"/>
                <w:bCs/>
                <w:sz w:val="21"/>
                <w:szCs w:val="21"/>
              </w:rPr>
              <w:t>2.现场检测方法和选点等符合有关标准、规范的要求</w:t>
            </w:r>
            <w:r>
              <w:rPr>
                <w:rFonts w:hint="eastAsia" w:ascii="仿宋_GB2312" w:hAnsi="仿宋_GB2312" w:cs="仿宋_GB2312"/>
                <w:bCs/>
                <w:sz w:val="21"/>
                <w:szCs w:val="21"/>
                <w:lang w:eastAsia="zh-CN"/>
              </w:rPr>
              <w:t>；</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bCs/>
                <w:sz w:val="21"/>
                <w:szCs w:val="21"/>
              </w:rPr>
              <w:t>3.记录信息应全面、清晰、完整，按要求书写、复核、签字。记录划改应规范，采用杠改方式，并由划改人签字或盖章。</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1.申请第一类业务范围的审查；</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2.此项判定为“不符合”时，相关检测报告涉及的业务范围不予通过。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56-2</w:t>
            </w:r>
          </w:p>
        </w:tc>
        <w:tc>
          <w:tcPr>
            <w:tcW w:w="242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核查现场采样、现场检测原始记录，要求：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1.现场采样方法、采样频次、采样时间、采样布点、采样数量和采样流量等符合有关标准、规范的要求（申请核设施业务范围的审查）；</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2.现场检测方法和选点等符合有关标准、规范的要求；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3.放射性本底测量方法正确；</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4.记录信息应全面、清晰、完整，按要求书写、复核、签字。记录划改应规范，采用杠改方式，并由划改人签字或盖章。</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sz w:val="21"/>
                <w:szCs w:val="21"/>
              </w:rPr>
              <w:t>1.申请第二类业务范围的审查</w:t>
            </w:r>
            <w:r>
              <w:rPr>
                <w:rFonts w:hint="eastAsia" w:ascii="仿宋_GB2312" w:hAnsi="仿宋_GB2312" w:cs="仿宋_GB2312"/>
                <w:bCs/>
                <w:sz w:val="21"/>
                <w:szCs w:val="21"/>
              </w:rPr>
              <w:t>；</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2.此项判定为“不符合”时，相关检测报告涉及的业务范围不予通过。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57</w:t>
            </w:r>
          </w:p>
        </w:tc>
        <w:tc>
          <w:tcPr>
            <w:tcW w:w="2420"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数据处理规范，数据修约准确，采用法定计量单位。</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核查质量管理体系文件，抽查技术服务报告及原始记录，要求：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1.应按照作业指导书规范开展数据转换及处理；</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2.应记录数据转换或换算的主要过程，并进行校核确认；</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3.应使用法定计量单位。</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6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检测质量控制</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58</w:t>
            </w:r>
          </w:p>
        </w:tc>
        <w:tc>
          <w:tcPr>
            <w:tcW w:w="2420"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采取有效质量控制措施确保检测结果准确。</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核查样品检测原始记录，要求：</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1</w:t>
            </w:r>
            <w:r>
              <w:rPr>
                <w:rFonts w:hint="eastAsia" w:ascii="仿宋_GB2312" w:hAnsi="仿宋_GB2312" w:cs="仿宋_GB2312"/>
                <w:kern w:val="0"/>
                <w:sz w:val="21"/>
                <w:szCs w:val="21"/>
                <w:lang w:eastAsia="zh-CN"/>
              </w:rPr>
              <w:t>.</w:t>
            </w:r>
            <w:r>
              <w:rPr>
                <w:rFonts w:hint="eastAsia" w:ascii="仿宋_GB2312" w:hAnsi="仿宋_GB2312" w:cs="仿宋_GB2312"/>
                <w:kern w:val="0"/>
                <w:sz w:val="21"/>
                <w:szCs w:val="21"/>
              </w:rPr>
              <w:t>现场采样检测应按要求对采样泵、声级计等设备进行校准；</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kern w:val="0"/>
                <w:sz w:val="21"/>
                <w:szCs w:val="21"/>
              </w:rPr>
              <w:t>2</w:t>
            </w:r>
            <w:r>
              <w:rPr>
                <w:rFonts w:hint="eastAsia" w:ascii="仿宋_GB2312" w:hAnsi="仿宋_GB2312" w:cs="仿宋_GB2312"/>
                <w:kern w:val="0"/>
                <w:sz w:val="21"/>
                <w:szCs w:val="21"/>
                <w:lang w:eastAsia="zh-CN"/>
              </w:rPr>
              <w:t>.</w:t>
            </w:r>
            <w:r>
              <w:rPr>
                <w:rFonts w:hint="eastAsia" w:ascii="仿宋_GB2312" w:hAnsi="仿宋_GB2312" w:cs="仿宋_GB2312"/>
                <w:kern w:val="0"/>
                <w:sz w:val="21"/>
                <w:szCs w:val="21"/>
              </w:rPr>
              <w:t>实验室检测应采取质控样品或加标回收等方法进行质量控制。</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restart"/>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检测样品管理</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59</w:t>
            </w:r>
          </w:p>
        </w:tc>
        <w:tc>
          <w:tcPr>
            <w:tcW w:w="2420"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为检测样品建立唯一识别系统和状态标识。</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核查质量管理体系文件中对样品唯一标识的规定和运行记录，要求：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1.制定样品唯一性标识及检测（流转）状态标识；</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bCs/>
                <w:sz w:val="21"/>
                <w:szCs w:val="21"/>
              </w:rPr>
              <w:t>2.不存在样品标识混用或混记现象。</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60</w:t>
            </w:r>
          </w:p>
        </w:tc>
        <w:tc>
          <w:tcPr>
            <w:tcW w:w="2420"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对检测样品的运输、接收、保存、处置等流转过程规范管理并详细记录。</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核查样品采集、接收、流转等程序和实施记录，要求：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1.按照程序对样品</w:t>
            </w:r>
            <w:r>
              <w:rPr>
                <w:rFonts w:hint="eastAsia" w:ascii="仿宋_GB2312" w:hAnsi="仿宋_GB2312" w:cs="仿宋_GB2312"/>
                <w:kern w:val="0"/>
                <w:sz w:val="21"/>
                <w:szCs w:val="21"/>
              </w:rPr>
              <w:t>运输、接收、保存、处置等过程规范管理</w:t>
            </w:r>
            <w:r>
              <w:rPr>
                <w:rFonts w:hint="eastAsia" w:ascii="仿宋_GB2312" w:hAnsi="仿宋_GB2312" w:cs="仿宋_GB2312"/>
                <w:bCs/>
                <w:sz w:val="21"/>
                <w:szCs w:val="21"/>
              </w:rPr>
              <w:t>；</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bCs/>
                <w:sz w:val="21"/>
                <w:szCs w:val="21"/>
              </w:rPr>
              <w:t>2.详细记录样品</w:t>
            </w:r>
            <w:r>
              <w:rPr>
                <w:rFonts w:hint="eastAsia" w:ascii="仿宋_GB2312" w:hAnsi="仿宋_GB2312" w:cs="仿宋_GB2312"/>
                <w:kern w:val="0"/>
                <w:sz w:val="21"/>
                <w:szCs w:val="21"/>
              </w:rPr>
              <w:t>运输、接收、保存、处置</w:t>
            </w:r>
            <w:r>
              <w:rPr>
                <w:rFonts w:hint="eastAsia" w:ascii="仿宋_GB2312" w:hAnsi="仿宋_GB2312" w:cs="仿宋_GB2312"/>
                <w:bCs/>
                <w:sz w:val="21"/>
                <w:szCs w:val="21"/>
              </w:rPr>
              <w:t>等过程。</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restart"/>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职业病危害评价能力</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61-1</w:t>
            </w:r>
          </w:p>
        </w:tc>
        <w:tc>
          <w:tcPr>
            <w:tcW w:w="2420" w:type="dxa"/>
            <w:vMerge w:val="restart"/>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kern w:val="0"/>
                <w:sz w:val="21"/>
                <w:szCs w:val="21"/>
              </w:rPr>
            </w:pPr>
            <w:r>
              <w:rPr>
                <w:rFonts w:hint="eastAsia" w:ascii="仿宋_GB2312" w:hAnsi="仿宋_GB2312" w:cs="仿宋_GB2312"/>
                <w:kern w:val="0"/>
                <w:sz w:val="21"/>
                <w:szCs w:val="21"/>
              </w:rPr>
              <w:t>申请单位应独立完成模拟评价报告编制，并在48小时内向专家组提交模拟评价报告。</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sz w:val="21"/>
                <w:szCs w:val="21"/>
              </w:rPr>
              <w:t>主要编写工程分析、职业病危害因素识别、职业病危害防护设施评价、危害程度与健康影响评价、措施建议和评价结论等方面内容。</w:t>
            </w:r>
            <w:r>
              <w:rPr>
                <w:rFonts w:hint="eastAsia" w:ascii="仿宋_GB2312" w:hAnsi="仿宋_GB2312" w:cs="仿宋_GB2312"/>
                <w:kern w:val="0"/>
                <w:sz w:val="21"/>
                <w:szCs w:val="21"/>
              </w:rPr>
              <w:t>要求：</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1.分析评价全面、准确；</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2.措施建议和结论有效可行、具有针对性；</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3.符合相关法律、法规和标准规范要求。</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申请第一类业务范围的审查。</w:t>
            </w:r>
          </w:p>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61-2</w:t>
            </w:r>
          </w:p>
        </w:tc>
        <w:tc>
          <w:tcPr>
            <w:tcW w:w="2420" w:type="dxa"/>
            <w:vMerge w:val="continue"/>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kern w:val="0"/>
                <w:sz w:val="21"/>
                <w:szCs w:val="21"/>
              </w:rPr>
            </w:pP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sz w:val="21"/>
                <w:szCs w:val="21"/>
              </w:rPr>
              <w:t>主要编写辐射源项分析、危害因素识别、辐射剂量估算、放射防护措施评价、危害程度与辐射健康影响、措施建议和评价结论等方面内容。</w:t>
            </w:r>
            <w:r>
              <w:rPr>
                <w:rFonts w:hint="eastAsia" w:ascii="仿宋_GB2312" w:hAnsi="仿宋_GB2312" w:cs="仿宋_GB2312"/>
                <w:kern w:val="0"/>
                <w:sz w:val="21"/>
                <w:szCs w:val="21"/>
              </w:rPr>
              <w:t>要求：</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1.分析评价全面、准确；</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2.措施建议和结论有效可行、具有针对性；</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3.符合相关法律、法规和标准规范要求。</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申请第二类业务范围的审查。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62</w:t>
            </w:r>
          </w:p>
        </w:tc>
        <w:tc>
          <w:tcPr>
            <w:tcW w:w="2420"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评价依据、范围、方法正确，内容完整。</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申请的每项业务范围，专家现场从近年出具的评价报告中抽查2份规模以上企业的职业病危害评价报告和原始记录（第63-74项参照此条方法抽查评价报告），要求：</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1.评价依据正确且现行有效；</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2.评价范围应界定清晰、明确；</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3.评价方法选用正确，且满足评价需要；</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4.评价内容应全面、准确。</w:t>
            </w:r>
          </w:p>
        </w:tc>
        <w:tc>
          <w:tcPr>
            <w:tcW w:w="834" w:type="dxa"/>
            <w:noWrap w:val="0"/>
            <w:tcMar>
              <w:top w:w="15" w:type="dxa"/>
              <w:left w:w="15" w:type="dxa"/>
              <w:right w:w="15" w:type="dxa"/>
            </w:tcMar>
            <w:vAlign w:val="center"/>
          </w:tcPr>
          <w:p>
            <w:pPr>
              <w:adjustRightInd w:val="0"/>
              <w:snapToGrid w:val="0"/>
              <w:spacing w:line="264" w:lineRule="exact"/>
              <w:jc w:val="both"/>
              <w:rPr>
                <w:rFonts w:hint="eastAsia" w:ascii="仿宋_GB2312" w:hAnsi="仿宋_GB2312" w:cs="仿宋_GB2312"/>
                <w:kern w:val="0"/>
                <w:sz w:val="21"/>
                <w:szCs w:val="21"/>
              </w:rPr>
            </w:pPr>
            <w:r>
              <w:rPr>
                <w:rFonts w:hint="eastAsia" w:ascii="仿宋_GB2312" w:hAnsi="仿宋_GB2312" w:cs="仿宋_GB2312"/>
                <w:bCs/>
                <w:sz w:val="21"/>
                <w:szCs w:val="21"/>
              </w:rPr>
              <w:t>各项</w:t>
            </w:r>
            <w:r>
              <w:rPr>
                <w:rFonts w:hint="eastAsia" w:ascii="仿宋_GB2312" w:hAnsi="仿宋_GB2312" w:cs="仿宋_GB2312"/>
                <w:kern w:val="0"/>
                <w:sz w:val="21"/>
                <w:szCs w:val="21"/>
              </w:rPr>
              <w:t>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kern w:val="0"/>
                <w:sz w:val="21"/>
                <w:szCs w:val="21"/>
              </w:rPr>
            </w:pPr>
            <w:r>
              <w:rPr>
                <w:rFonts w:hint="eastAsia" w:ascii="仿宋_GB2312" w:hAnsi="仿宋_GB2312" w:cs="仿宋_GB2312"/>
                <w:kern w:val="0"/>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jc w:val="both"/>
              <w:rPr>
                <w:rFonts w:hint="eastAsia" w:ascii="仿宋_GB2312" w:hAnsi="仿宋_GB2312" w:cs="仿宋_GB2312"/>
                <w:kern w:val="0"/>
                <w:sz w:val="21"/>
                <w:szCs w:val="21"/>
              </w:rPr>
            </w:pPr>
            <w:r>
              <w:rPr>
                <w:rFonts w:hint="eastAsia" w:ascii="仿宋_GB2312" w:hAnsi="仿宋_GB2312" w:cs="仿宋_GB2312"/>
                <w:kern w:val="0"/>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1.有一份评价报告基本符合或不符合，即判定该项基本符合或不符合（第63-74项参照此条方法判定）；</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2.</w:t>
            </w:r>
            <w:r>
              <w:rPr>
                <w:rFonts w:hint="eastAsia" w:ascii="仿宋_GB2312" w:hAnsi="仿宋_GB2312" w:cs="仿宋_GB2312"/>
                <w:sz w:val="21"/>
                <w:szCs w:val="21"/>
              </w:rPr>
              <w:t>未出具正式评价报告的，</w:t>
            </w:r>
            <w:r>
              <w:rPr>
                <w:rFonts w:hint="eastAsia" w:ascii="仿宋_GB2312" w:hAnsi="仿宋_GB2312" w:cs="仿宋_GB2312"/>
                <w:kern w:val="0"/>
                <w:sz w:val="21"/>
                <w:szCs w:val="21"/>
              </w:rPr>
              <w:t>抽查模拟评价报告</w:t>
            </w:r>
            <w:r>
              <w:rPr>
                <w:rFonts w:hint="eastAsia" w:ascii="仿宋_GB2312" w:hAnsi="仿宋_GB2312" w:cs="仿宋_GB2312"/>
                <w:sz w:val="21"/>
                <w:szCs w:val="21"/>
              </w:rPr>
              <w:t>（第63-74项参照此项要求）</w:t>
            </w:r>
            <w:r>
              <w:rPr>
                <w:rFonts w:hint="eastAsia" w:ascii="仿宋_GB2312" w:hAnsi="仿宋_GB2312" w:cs="仿宋_GB2312"/>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63</w:t>
            </w:r>
          </w:p>
        </w:tc>
        <w:tc>
          <w:tcPr>
            <w:tcW w:w="2420"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现场调查、资料收集应规范、完整。</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核查质量管理体系文件现场调查管理程序，抽查</w:t>
            </w:r>
            <w:r>
              <w:rPr>
                <w:rFonts w:hint="eastAsia" w:ascii="仿宋_GB2312" w:hAnsi="仿宋_GB2312" w:cs="仿宋_GB2312"/>
                <w:kern w:val="0"/>
                <w:sz w:val="21"/>
                <w:szCs w:val="21"/>
              </w:rPr>
              <w:t>评价报告</w:t>
            </w:r>
            <w:r>
              <w:rPr>
                <w:rFonts w:hint="eastAsia" w:ascii="仿宋_GB2312" w:hAnsi="仿宋_GB2312" w:cs="仿宋_GB2312"/>
                <w:bCs/>
                <w:sz w:val="21"/>
                <w:szCs w:val="21"/>
              </w:rPr>
              <w:t>原始记录，要求：</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1.应按照评价范围和评价内容规范开展现场调查、资料收集；</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2.调查内容满足标准、规范的要求；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3.资料收集应完整全面，满足检测、评价工作的需要。</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6" w:hRule="atLeast"/>
          <w:jc w:val="center"/>
        </w:trPr>
        <w:tc>
          <w:tcPr>
            <w:tcW w:w="450" w:type="dxa"/>
            <w:vMerge w:val="restart"/>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bCs/>
                <w:sz w:val="21"/>
                <w:szCs w:val="21"/>
              </w:rPr>
            </w:pPr>
          </w:p>
          <w:p>
            <w:pPr>
              <w:widowControl/>
              <w:adjustRightInd w:val="0"/>
              <w:snapToGrid w:val="0"/>
              <w:spacing w:line="264" w:lineRule="exact"/>
              <w:jc w:val="left"/>
              <w:textAlignment w:val="center"/>
              <w:rPr>
                <w:rFonts w:hint="eastAsia" w:ascii="仿宋_GB2312" w:hAnsi="仿宋_GB2312" w:cs="仿宋_GB2312"/>
                <w:bCs/>
                <w:sz w:val="21"/>
                <w:szCs w:val="21"/>
              </w:rPr>
            </w:pPr>
          </w:p>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64</w:t>
            </w:r>
          </w:p>
        </w:tc>
        <w:tc>
          <w:tcPr>
            <w:tcW w:w="2420"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工程分析全面、到位。</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核查评价报告和原始记录，要求：</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工艺流程、场所设备布局、原辅材料（辐射源项）、建筑卫生学等工程分析评价全面、准确。</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基本符合要求。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kern w:val="0"/>
                <w:sz w:val="21"/>
                <w:szCs w:val="21"/>
              </w:rPr>
              <w:t>此项判定为“不符合”时，相关评价报告涉及的业务范围不予通过</w:t>
            </w:r>
            <w:r>
              <w:rPr>
                <w:rFonts w:hint="eastAsia" w:ascii="仿宋_GB2312" w:hAnsi="仿宋_GB2312" w:cs="仿宋_GB2312"/>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65</w:t>
            </w:r>
          </w:p>
        </w:tc>
        <w:tc>
          <w:tcPr>
            <w:tcW w:w="2420"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职业病危害因素识别、分析全面、准确。</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核查评价报告和原始记录，要求：</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从接触岗位（地点）、接触时间、接触频次、作业方式以及对人体健康影响危害程度等方面，对职业病危害因素进行全面、准确分析。</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基本符合要求。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kern w:val="0"/>
                <w:sz w:val="21"/>
                <w:szCs w:val="21"/>
              </w:rPr>
              <w:t>此项判定为“不符合”时，相关评价报告涉及的业务范围不予通过</w:t>
            </w:r>
            <w:r>
              <w:rPr>
                <w:rFonts w:hint="eastAsia" w:ascii="仿宋_GB2312" w:hAnsi="仿宋_GB2312" w:cs="仿宋_GB2312"/>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66-1</w:t>
            </w:r>
          </w:p>
        </w:tc>
        <w:tc>
          <w:tcPr>
            <w:tcW w:w="2420" w:type="dxa"/>
            <w:vMerge w:val="restart"/>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职业病危害程度与健康影响评价科学、准确。</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核查评价报告和原始记录，要求：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1.职业病危害因素及其涉及的工种（岗位）应全面；</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2.职业病危害程度分级正确；</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3.接触水平计算及接触限值应用正确；</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4.接触水平与健康影响的相关性评估科学、准确。</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申请第一类业务范围的审查。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66-2</w:t>
            </w:r>
          </w:p>
        </w:tc>
        <w:tc>
          <w:tcPr>
            <w:tcW w:w="242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核查评价报告和原始记录，要求：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 xml:space="preserve">1.放射性职业病危害因素及其涉及的工种（岗位）应全面； </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2.辐射剂量水平估算与健康影响的相关性评估科学、准确；</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3.辐射剂量水平的估算和限值应用正确。</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申请第二类业务范围的审查。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67-1</w:t>
            </w:r>
          </w:p>
        </w:tc>
        <w:tc>
          <w:tcPr>
            <w:tcW w:w="2420" w:type="dxa"/>
            <w:vMerge w:val="restart"/>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职业病防护设施评价准确，措施建议有效可行、具有针对性。</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核查评价报告和原始记录，要求：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1.应结合职业病危害因素识别、职业病危害因素检测和职业病防护设施性能检测结果，以及职业病</w:t>
            </w:r>
            <w:r>
              <w:rPr>
                <w:rFonts w:hint="eastAsia" w:ascii="仿宋_GB2312" w:hAnsi="仿宋_GB2312" w:cs="仿宋_GB2312"/>
                <w:kern w:val="0"/>
                <w:sz w:val="21"/>
                <w:szCs w:val="21"/>
              </w:rPr>
              <w:t>危害与健康影响程度等</w:t>
            </w:r>
            <w:r>
              <w:rPr>
                <w:rFonts w:hint="eastAsia" w:ascii="仿宋_GB2312" w:hAnsi="仿宋_GB2312" w:cs="仿宋_GB2312"/>
                <w:bCs/>
                <w:sz w:val="21"/>
                <w:szCs w:val="21"/>
              </w:rPr>
              <w:t>，对职业病防护设施的合理性和有效性进行全面、准确评价；</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2.职业病防护设施建议具有针对性。</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1.申请第一类业务范围的审查；</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kern w:val="0"/>
                <w:sz w:val="21"/>
                <w:szCs w:val="21"/>
              </w:rPr>
              <w:t>2.此项判定为“不符合”时，相关评价报告涉及的业务范围不予通过</w:t>
            </w:r>
            <w:r>
              <w:rPr>
                <w:rFonts w:hint="eastAsia" w:ascii="仿宋_GB2312" w:hAnsi="仿宋_GB2312" w:cs="仿宋_GB2312"/>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67-2</w:t>
            </w:r>
          </w:p>
        </w:tc>
        <w:tc>
          <w:tcPr>
            <w:tcW w:w="242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核查评价报告和原始记录，要求：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1.应结合职业病危害因素识别、职业病危害因素检测结果，以及辐射剂量水平估算与健康影响</w:t>
            </w:r>
            <w:r>
              <w:rPr>
                <w:rFonts w:hint="eastAsia" w:ascii="仿宋_GB2312" w:hAnsi="仿宋_GB2312" w:cs="仿宋_GB2312"/>
                <w:kern w:val="0"/>
                <w:sz w:val="21"/>
                <w:szCs w:val="21"/>
              </w:rPr>
              <w:t>等</w:t>
            </w:r>
            <w:r>
              <w:rPr>
                <w:rFonts w:hint="eastAsia" w:ascii="仿宋_GB2312" w:hAnsi="仿宋_GB2312" w:cs="仿宋_GB2312"/>
                <w:bCs/>
                <w:sz w:val="21"/>
                <w:szCs w:val="21"/>
              </w:rPr>
              <w:t>，对职业病防护设施的合理性和有效性进行全面、准确评价；</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2.职业病防护设施措施建议具有针对性。</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1.申请第二类业务范围的审查；</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2.</w:t>
            </w:r>
            <w:r>
              <w:rPr>
                <w:rFonts w:hint="eastAsia" w:ascii="仿宋_GB2312" w:hAnsi="仿宋_GB2312" w:cs="仿宋_GB2312"/>
                <w:kern w:val="0"/>
                <w:sz w:val="21"/>
                <w:szCs w:val="21"/>
              </w:rPr>
              <w:t>此项判定为“不符合”时，相关评价报告涉及的业务范围不予通过</w:t>
            </w:r>
            <w:r>
              <w:rPr>
                <w:rFonts w:hint="eastAsia" w:ascii="仿宋_GB2312" w:hAnsi="仿宋_GB2312" w:cs="仿宋_GB2312"/>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68</w:t>
            </w:r>
          </w:p>
        </w:tc>
        <w:tc>
          <w:tcPr>
            <w:tcW w:w="2420" w:type="dxa"/>
            <w:noWrap w:val="0"/>
            <w:tcMar>
              <w:top w:w="15" w:type="dxa"/>
              <w:left w:w="15" w:type="dxa"/>
              <w:right w:w="15" w:type="dxa"/>
            </w:tcMar>
            <w:vAlign w:val="center"/>
          </w:tcPr>
          <w:p>
            <w:pPr>
              <w:widowControl/>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应急救援设施</w:t>
            </w:r>
            <w:r>
              <w:rPr>
                <w:rFonts w:hint="eastAsia" w:ascii="仿宋_GB2312" w:hAnsi="仿宋_GB2312" w:cs="仿宋_GB2312"/>
                <w:kern w:val="0"/>
                <w:sz w:val="21"/>
                <w:szCs w:val="21"/>
              </w:rPr>
              <w:t>评价准确，措施建议有效可行、具有针对性。</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核查评价报告和原始记录，要求：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1.对应急救援设施的合理性和有效性进行全面、准确评价；</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2.应急救援设施建议具有针对性。</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rPr>
                <w:rFonts w:hint="eastAsia" w:ascii="仿宋_GB2312" w:hAnsi="仿宋_GB2312" w:cs="仿宋_GB2312"/>
                <w:bCs/>
                <w:sz w:val="21"/>
                <w:szCs w:val="21"/>
              </w:rPr>
            </w:pPr>
            <w:r>
              <w:rPr>
                <w:rFonts w:hint="eastAsia" w:ascii="仿宋_GB2312" w:hAnsi="仿宋_GB2312" w:cs="仿宋_GB2312"/>
                <w:bCs/>
                <w:sz w:val="21"/>
                <w:szCs w:val="21"/>
              </w:rPr>
              <w:t>69</w:t>
            </w:r>
          </w:p>
        </w:tc>
        <w:tc>
          <w:tcPr>
            <w:tcW w:w="2420" w:type="dxa"/>
            <w:noWrap w:val="0"/>
            <w:tcMar>
              <w:top w:w="15" w:type="dxa"/>
              <w:left w:w="15" w:type="dxa"/>
              <w:right w:w="15" w:type="dxa"/>
            </w:tcMar>
            <w:vAlign w:val="center"/>
          </w:tcPr>
          <w:p>
            <w:pPr>
              <w:widowControl/>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职业卫生管理措施评价。</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核查评价报告和原始记录，要求：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1.对职业卫生管理制度、职业病危害告知、培训、职业健康监护、个体防护用品选配等职业卫生管理措施的分析评价全面、准确；</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2.建议具有针对性、可行性。</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jc w:val="both"/>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rPr>
                <w:rFonts w:hint="eastAsia" w:ascii="仿宋_GB2312" w:hAnsi="仿宋_GB2312" w:cs="仿宋_GB2312"/>
                <w:bCs/>
                <w:sz w:val="21"/>
                <w:szCs w:val="21"/>
              </w:rPr>
            </w:pPr>
            <w:r>
              <w:rPr>
                <w:rFonts w:hint="eastAsia" w:ascii="仿宋_GB2312" w:hAnsi="仿宋_GB2312" w:cs="仿宋_GB2312"/>
                <w:bCs/>
                <w:sz w:val="21"/>
                <w:szCs w:val="21"/>
              </w:rPr>
              <w:t>70</w:t>
            </w:r>
          </w:p>
        </w:tc>
        <w:tc>
          <w:tcPr>
            <w:tcW w:w="2420"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评价结论完整、准确。</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核查评价报告和原始记录，要求：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1.应在全面总结归纳评价内容的基础上给出评价结论；</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2.职业病危害风险分级分类准确，关键控制点分析准确；</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3.应给出职业病危害接触水平及职业病防护设施控制效果是否满足要求的评价结论。</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restart"/>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技术服务过程管理</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71</w:t>
            </w:r>
          </w:p>
        </w:tc>
        <w:tc>
          <w:tcPr>
            <w:tcW w:w="2420" w:type="dxa"/>
            <w:noWrap w:val="0"/>
            <w:tcMar>
              <w:top w:w="15" w:type="dxa"/>
              <w:left w:w="15" w:type="dxa"/>
              <w:right w:w="15" w:type="dxa"/>
            </w:tcMar>
            <w:vAlign w:val="center"/>
          </w:tcPr>
          <w:p>
            <w:pPr>
              <w:widowControl/>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合同评审应规范、完整。</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核查质量管理体系文件中合同评审程序，抽查合同评审记录，要求：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1.签订合同前应进行合同评审，合同评审内容应全面，应包括对合法合规性、资质能力、资质条件、技术服务报告交付时间等的评审；</w:t>
            </w:r>
          </w:p>
          <w:p>
            <w:pPr>
              <w:adjustRightInd w:val="0"/>
              <w:snapToGrid w:val="0"/>
              <w:spacing w:line="264" w:lineRule="exact"/>
              <w:jc w:val="left"/>
              <w:rPr>
                <w:rFonts w:hint="eastAsia" w:ascii="仿宋_GB2312" w:hAnsi="仿宋_GB2312" w:eastAsia="仿宋_GB2312" w:cs="仿宋_GB2312"/>
                <w:bCs/>
                <w:sz w:val="21"/>
                <w:szCs w:val="21"/>
                <w:lang w:eastAsia="zh-CN"/>
              </w:rPr>
            </w:pPr>
            <w:r>
              <w:rPr>
                <w:rFonts w:hint="eastAsia" w:ascii="仿宋_GB2312" w:hAnsi="仿宋_GB2312" w:cs="仿宋_GB2312"/>
                <w:bCs/>
                <w:sz w:val="21"/>
                <w:szCs w:val="21"/>
              </w:rPr>
              <w:t>2.技术合同应以书面形式与用人单位明确技术服务内容、范围以及双方的责任</w:t>
            </w:r>
            <w:r>
              <w:rPr>
                <w:rFonts w:hint="eastAsia" w:ascii="仿宋_GB2312" w:hAnsi="仿宋_GB2312" w:cs="仿宋_GB2312"/>
                <w:bCs/>
                <w:sz w:val="21"/>
                <w:szCs w:val="21"/>
                <w:lang w:eastAsia="zh-CN"/>
              </w:rPr>
              <w:t>。</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检测、评价技术服务均审查。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rPr>
                <w:rFonts w:hint="eastAsia" w:ascii="仿宋_GB2312" w:hAnsi="仿宋_GB2312" w:cs="仿宋_GB2312"/>
                <w:bCs/>
                <w:sz w:val="21"/>
                <w:szCs w:val="21"/>
              </w:rPr>
            </w:pPr>
            <w:r>
              <w:rPr>
                <w:rFonts w:hint="eastAsia" w:ascii="仿宋_GB2312" w:hAnsi="仿宋_GB2312" w:cs="仿宋_GB2312"/>
                <w:bCs/>
                <w:sz w:val="21"/>
                <w:szCs w:val="21"/>
              </w:rPr>
              <w:t>72</w:t>
            </w:r>
          </w:p>
        </w:tc>
        <w:tc>
          <w:tcPr>
            <w:tcW w:w="2420"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职业病危害因素检测、评价方案（计划）应完整、规范。</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核查质量管理体系文件有关</w:t>
            </w:r>
            <w:r>
              <w:rPr>
                <w:rFonts w:hint="eastAsia" w:ascii="仿宋_GB2312" w:hAnsi="仿宋_GB2312" w:cs="仿宋_GB2312"/>
                <w:kern w:val="0"/>
                <w:sz w:val="21"/>
                <w:szCs w:val="21"/>
              </w:rPr>
              <w:t>检测、评价方案（计划）编制</w:t>
            </w:r>
            <w:r>
              <w:rPr>
                <w:rFonts w:hint="eastAsia" w:ascii="仿宋_GB2312" w:hAnsi="仿宋_GB2312" w:cs="仿宋_GB2312"/>
                <w:bCs/>
                <w:sz w:val="21"/>
                <w:szCs w:val="21"/>
              </w:rPr>
              <w:t>程序，抽查原始记录，要求：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1.依程序编制、审核和批准</w:t>
            </w:r>
            <w:r>
              <w:rPr>
                <w:rFonts w:hint="eastAsia" w:ascii="仿宋_GB2312" w:hAnsi="仿宋_GB2312" w:cs="仿宋_GB2312"/>
                <w:kern w:val="0"/>
                <w:sz w:val="21"/>
                <w:szCs w:val="21"/>
              </w:rPr>
              <w:t>检测、评价方案（计划）</w:t>
            </w:r>
            <w:r>
              <w:rPr>
                <w:rFonts w:hint="eastAsia" w:ascii="仿宋_GB2312" w:hAnsi="仿宋_GB2312" w:cs="仿宋_GB2312"/>
                <w:bCs/>
                <w:sz w:val="21"/>
                <w:szCs w:val="21"/>
              </w:rPr>
              <w:t>；</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2.内容应满足标准、规范的要求。</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检测报告和评价报告均审查。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73</w:t>
            </w:r>
          </w:p>
        </w:tc>
        <w:tc>
          <w:tcPr>
            <w:tcW w:w="2420"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技术服务报告应内容完整、规范并按照要求审核、签章和发送。</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核查质量管理体系文件中技术服务报告管理程序，抽查技术服务报告，要求：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1.技术服务报告应内容完整、规范、信息全面，符合相关标准规范要求；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2.技术服务报告应规范使用唯一性编号；</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3.授权签字人、审核人等人员应按照程序和职责分工对技术服务报告进行严格审核，并妥善保存相关记录；</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4.报告的签章、发送等按照程序规范进行，并妥善保存相关记录。</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检测报告和评价报告均审查。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74</w:t>
            </w:r>
          </w:p>
        </w:tc>
        <w:tc>
          <w:tcPr>
            <w:tcW w:w="2420"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技术服务报告及原始资料应完整归档，并按照要求保存。</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核查质量管理体系文件中技术服务报告和记录的管理程序，抽查技术服务报告及原始记录档案，要求：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1.按照程序文件要求进行档案的管理；</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2.归档材料齐全，且有目录，至少包括以下档案材料：</w:t>
            </w:r>
          </w:p>
          <w:p>
            <w:pPr>
              <w:numPr>
                <w:ilvl w:val="0"/>
                <w:numId w:val="3"/>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技术服务委托书或技术服务合同（复印件）；</w:t>
            </w:r>
          </w:p>
          <w:p>
            <w:pPr>
              <w:numPr>
                <w:ilvl w:val="0"/>
                <w:numId w:val="3"/>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合同评审记录；</w:t>
            </w:r>
          </w:p>
          <w:p>
            <w:pPr>
              <w:numPr>
                <w:ilvl w:val="0"/>
                <w:numId w:val="3"/>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检测、评价的方案（计划）及审核记录；</w:t>
            </w:r>
          </w:p>
          <w:p>
            <w:pPr>
              <w:numPr>
                <w:ilvl w:val="0"/>
                <w:numId w:val="3"/>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相关原始记录（现场调查记录、采样记录、实验室分析记录及原始谱图等）；</w:t>
            </w:r>
          </w:p>
          <w:p>
            <w:pPr>
              <w:numPr>
                <w:ilvl w:val="0"/>
                <w:numId w:val="3"/>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技术服务过程影像资料；</w:t>
            </w:r>
          </w:p>
          <w:p>
            <w:pPr>
              <w:numPr>
                <w:ilvl w:val="0"/>
                <w:numId w:val="3"/>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技术服务所需的技术资料（设计文件、类比检测资料等）；</w:t>
            </w:r>
          </w:p>
          <w:p>
            <w:pPr>
              <w:numPr>
                <w:ilvl w:val="0"/>
                <w:numId w:val="3"/>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技术服务报告及审核记录；</w:t>
            </w:r>
          </w:p>
          <w:p>
            <w:pPr>
              <w:numPr>
                <w:ilvl w:val="0"/>
                <w:numId w:val="3"/>
              </w:num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其他与职业卫生技术服务相关的记录、资料。</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检测报告和评价报告均审查。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4" w:hRule="atLeast"/>
          <w:jc w:val="center"/>
        </w:trPr>
        <w:tc>
          <w:tcPr>
            <w:tcW w:w="450" w:type="dxa"/>
            <w:vMerge w:val="restart"/>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6.质量管理体系</w:t>
            </w:r>
          </w:p>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restart"/>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质量管理体系文件</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75</w:t>
            </w:r>
          </w:p>
        </w:tc>
        <w:tc>
          <w:tcPr>
            <w:tcW w:w="2420"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质量管理手册完整、规范、操作性强，并有效运行。</w:t>
            </w:r>
          </w:p>
        </w:tc>
        <w:tc>
          <w:tcPr>
            <w:tcW w:w="5641" w:type="dxa"/>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核查质量管理体系文件，要求：</w:t>
            </w:r>
          </w:p>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1.按照职业卫生相关法律、法规和标准规范，并参照《检测检验机构资质认定能力评价 检验检测机构通用要求》（RB/T 214）的有关要求，编写质量管理手册，明确质量方针、组织机构、人员岗位职责、支持性程序等内容；</w:t>
            </w:r>
          </w:p>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2.应满足职业卫生检测、评价活动质量控制的要求；</w:t>
            </w:r>
          </w:p>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3.质量管理手册应完整、规范、操作性强。</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76</w:t>
            </w:r>
          </w:p>
        </w:tc>
        <w:tc>
          <w:tcPr>
            <w:tcW w:w="2420"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程序文件全面、具体、操作性强，并有效运行。</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核查质量管理体系文件，要求：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1.程序文件应</w:t>
            </w:r>
            <w:r>
              <w:rPr>
                <w:rFonts w:hint="eastAsia" w:ascii="仿宋_GB2312" w:hAnsi="仿宋_GB2312" w:cs="仿宋_GB2312"/>
                <w:kern w:val="0"/>
                <w:sz w:val="21"/>
                <w:szCs w:val="21"/>
              </w:rPr>
              <w:t>具体、</w:t>
            </w:r>
            <w:r>
              <w:rPr>
                <w:rFonts w:hint="eastAsia" w:ascii="仿宋_GB2312" w:hAnsi="仿宋_GB2312" w:cs="仿宋_GB2312"/>
                <w:bCs/>
                <w:sz w:val="21"/>
                <w:szCs w:val="21"/>
              </w:rPr>
              <w:t>规范、操作性强；</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2.应至少编制下列程序性文件：</w:t>
            </w:r>
          </w:p>
          <w:p>
            <w:pPr>
              <w:numPr>
                <w:ilvl w:val="0"/>
                <w:numId w:val="4"/>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文件管理和控制程序；</w:t>
            </w:r>
          </w:p>
          <w:p>
            <w:pPr>
              <w:numPr>
                <w:ilvl w:val="0"/>
                <w:numId w:val="4"/>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检测方法确认、验证和专家论证程序；</w:t>
            </w:r>
          </w:p>
          <w:p>
            <w:pPr>
              <w:numPr>
                <w:ilvl w:val="0"/>
                <w:numId w:val="4"/>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内审和管理评审程序；</w:t>
            </w:r>
          </w:p>
          <w:p>
            <w:pPr>
              <w:numPr>
                <w:ilvl w:val="0"/>
                <w:numId w:val="4"/>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纠正与预防控制程序；</w:t>
            </w:r>
          </w:p>
          <w:p>
            <w:pPr>
              <w:numPr>
                <w:ilvl w:val="0"/>
                <w:numId w:val="4"/>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专业技术人员培训程序；</w:t>
            </w:r>
          </w:p>
          <w:p>
            <w:pPr>
              <w:numPr>
                <w:ilvl w:val="0"/>
                <w:numId w:val="4"/>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仪器设备购置、验收、使用和处置程序；</w:t>
            </w:r>
          </w:p>
          <w:p>
            <w:pPr>
              <w:numPr>
                <w:ilvl w:val="0"/>
                <w:numId w:val="4"/>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耗材和标准物质的购置、验收、领用及处置程序；</w:t>
            </w:r>
          </w:p>
          <w:p>
            <w:pPr>
              <w:numPr>
                <w:ilvl w:val="0"/>
                <w:numId w:val="4"/>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合同评审程序；</w:t>
            </w:r>
          </w:p>
          <w:p>
            <w:pPr>
              <w:numPr>
                <w:ilvl w:val="0"/>
                <w:numId w:val="4"/>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现场调查质量控制程序；</w:t>
            </w:r>
          </w:p>
          <w:p>
            <w:pPr>
              <w:numPr>
                <w:ilvl w:val="0"/>
                <w:numId w:val="4"/>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样品采集与流转质量控制程序；</w:t>
            </w:r>
          </w:p>
          <w:p>
            <w:pPr>
              <w:numPr>
                <w:ilvl w:val="0"/>
                <w:numId w:val="4"/>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样品测定质量控制程序；</w:t>
            </w:r>
          </w:p>
          <w:p>
            <w:pPr>
              <w:numPr>
                <w:ilvl w:val="0"/>
                <w:numId w:val="4"/>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技术服务记录、结果与结论的完整、准确和有效性质量控制程序；</w:t>
            </w:r>
          </w:p>
          <w:p>
            <w:pPr>
              <w:numPr>
                <w:ilvl w:val="0"/>
                <w:numId w:val="4"/>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技术服务报告编制、审核、签发质量控制程序</w:t>
            </w:r>
            <w:r>
              <w:rPr>
                <w:rFonts w:hint="eastAsia" w:ascii="仿宋_GB2312" w:hAnsi="仿宋_GB2312" w:cs="仿宋_GB2312"/>
                <w:bCs/>
                <w:sz w:val="21"/>
                <w:szCs w:val="21"/>
                <w:lang w:eastAsia="zh-CN"/>
              </w:rPr>
              <w:t>；</w:t>
            </w:r>
          </w:p>
          <w:p>
            <w:pPr>
              <w:numPr>
                <w:ilvl w:val="0"/>
                <w:numId w:val="4"/>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保证技术服务公正和诚信程序；</w:t>
            </w:r>
          </w:p>
          <w:p>
            <w:pPr>
              <w:numPr>
                <w:ilvl w:val="0"/>
                <w:numId w:val="4"/>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保护客户秘密和所有权程序；</w:t>
            </w:r>
          </w:p>
          <w:p>
            <w:pPr>
              <w:numPr>
                <w:ilvl w:val="0"/>
                <w:numId w:val="4"/>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选择和购买服务、供应商控制程序；</w:t>
            </w:r>
          </w:p>
          <w:p>
            <w:pPr>
              <w:numPr>
                <w:ilvl w:val="0"/>
                <w:numId w:val="4"/>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投诉处理程序；</w:t>
            </w:r>
          </w:p>
          <w:p>
            <w:pPr>
              <w:numPr>
                <w:ilvl w:val="0"/>
                <w:numId w:val="4"/>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技术服务过程偏离的控制程序；</w:t>
            </w:r>
          </w:p>
          <w:p>
            <w:pPr>
              <w:numPr>
                <w:ilvl w:val="0"/>
                <w:numId w:val="4"/>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技术服务信息公开程序；</w:t>
            </w:r>
          </w:p>
          <w:p>
            <w:pPr>
              <w:numPr>
                <w:ilvl w:val="0"/>
                <w:numId w:val="4"/>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sz w:val="21"/>
                <w:szCs w:val="21"/>
              </w:rPr>
              <w:fldChar w:fldCharType="begin"/>
            </w:r>
            <w:r>
              <w:rPr>
                <w:rFonts w:hint="eastAsia" w:ascii="仿宋_GB2312" w:hAnsi="仿宋_GB2312" w:cs="仿宋_GB2312"/>
                <w:sz w:val="21"/>
                <w:szCs w:val="21"/>
              </w:rPr>
              <w:instrText xml:space="preserve"> HYPERLINK \l "_Toc2642" </w:instrText>
            </w:r>
            <w:r>
              <w:rPr>
                <w:rFonts w:hint="eastAsia" w:ascii="仿宋_GB2312" w:hAnsi="仿宋_GB2312" w:cs="仿宋_GB2312"/>
                <w:sz w:val="21"/>
                <w:szCs w:val="21"/>
              </w:rPr>
              <w:fldChar w:fldCharType="separate"/>
            </w:r>
            <w:r>
              <w:rPr>
                <w:rFonts w:hint="eastAsia" w:ascii="仿宋_GB2312" w:hAnsi="仿宋_GB2312" w:cs="仿宋_GB2312"/>
                <w:bCs/>
                <w:sz w:val="21"/>
                <w:szCs w:val="21"/>
              </w:rPr>
              <w:t>技术服务报告管理程序。</w:t>
            </w:r>
            <w:r>
              <w:rPr>
                <w:rFonts w:hint="eastAsia" w:ascii="仿宋_GB2312" w:hAnsi="仿宋_GB2312" w:cs="仿宋_GB2312"/>
                <w:bCs/>
                <w:sz w:val="21"/>
                <w:szCs w:val="21"/>
              </w:rPr>
              <w:fldChar w:fldCharType="end"/>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8"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77</w:t>
            </w:r>
          </w:p>
        </w:tc>
        <w:tc>
          <w:tcPr>
            <w:tcW w:w="2420"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作业指导书全面、具体、操作性强，并有效运行。</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核查质量管理体系文件，要求：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1.根据职业卫生技术服务相关法律、法规、标准和工作需要，编制作业指导书；</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2.作业指导书应具体、规范、操作性强。</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8"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78</w:t>
            </w:r>
          </w:p>
        </w:tc>
        <w:tc>
          <w:tcPr>
            <w:tcW w:w="2420"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kern w:val="0"/>
                <w:sz w:val="21"/>
                <w:szCs w:val="21"/>
              </w:rPr>
            </w:pPr>
            <w:r>
              <w:rPr>
                <w:rFonts w:hint="eastAsia" w:ascii="仿宋_GB2312" w:hAnsi="仿宋_GB2312" w:cs="仿宋_GB2312"/>
                <w:bCs/>
                <w:sz w:val="21"/>
                <w:szCs w:val="21"/>
              </w:rPr>
              <w:t>记录表格完整、规范、操作性强，</w:t>
            </w:r>
            <w:r>
              <w:rPr>
                <w:rFonts w:hint="eastAsia" w:ascii="仿宋_GB2312" w:hAnsi="仿宋_GB2312" w:cs="仿宋_GB2312"/>
                <w:kern w:val="0"/>
                <w:sz w:val="21"/>
                <w:szCs w:val="21"/>
              </w:rPr>
              <w:t>并有效运行</w:t>
            </w:r>
            <w:r>
              <w:rPr>
                <w:rFonts w:hint="eastAsia" w:ascii="仿宋_GB2312" w:hAnsi="仿宋_GB2312" w:cs="仿宋_GB2312"/>
                <w:bCs/>
                <w:sz w:val="21"/>
                <w:szCs w:val="21"/>
              </w:rPr>
              <w:t>。</w:t>
            </w:r>
          </w:p>
        </w:tc>
        <w:tc>
          <w:tcPr>
            <w:tcW w:w="5641"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查阅记录表格，要求：</w:t>
            </w:r>
          </w:p>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1</w:t>
            </w:r>
            <w:r>
              <w:rPr>
                <w:rFonts w:hint="eastAsia" w:ascii="仿宋_GB2312" w:hAnsi="仿宋_GB2312" w:cs="仿宋_GB2312"/>
                <w:bCs/>
                <w:sz w:val="21"/>
                <w:szCs w:val="21"/>
                <w:lang w:eastAsia="zh-CN"/>
              </w:rPr>
              <w:t>.</w:t>
            </w:r>
            <w:r>
              <w:rPr>
                <w:rFonts w:hint="eastAsia" w:ascii="仿宋_GB2312" w:hAnsi="仿宋_GB2312" w:cs="仿宋_GB2312"/>
                <w:bCs/>
                <w:sz w:val="21"/>
                <w:szCs w:val="21"/>
              </w:rPr>
              <w:t>根据职业卫生技术服务相关法律、法规、标准和工作需要，制定评价、检测和质量管理相关记录表格；</w:t>
            </w:r>
          </w:p>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2</w:t>
            </w:r>
            <w:r>
              <w:rPr>
                <w:rFonts w:hint="eastAsia" w:ascii="仿宋_GB2312" w:hAnsi="仿宋_GB2312" w:cs="仿宋_GB2312"/>
                <w:bCs/>
                <w:sz w:val="21"/>
                <w:szCs w:val="21"/>
                <w:lang w:eastAsia="zh-CN"/>
              </w:rPr>
              <w:t>.</w:t>
            </w:r>
            <w:r>
              <w:rPr>
                <w:rFonts w:hint="eastAsia" w:ascii="仿宋_GB2312" w:hAnsi="仿宋_GB2312" w:cs="仿宋_GB2312"/>
                <w:bCs/>
                <w:sz w:val="21"/>
                <w:szCs w:val="21"/>
              </w:rPr>
              <w:t>记录表格应信息全面、操作性强；</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文件控制</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79</w:t>
            </w:r>
          </w:p>
        </w:tc>
        <w:tc>
          <w:tcPr>
            <w:tcW w:w="2420"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文件受控制度建立健全，文件控制措施落实到位。</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核查质量管理体系文件中文件控制程序、受控文件清单和文件受控过程记录等资料，要求：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1.应使用现行有效的法律、法规、标准、质量管理手册、程序文件、作业指导书和记录表格等文件；</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2.对受控文件的发放、更新、作废、销毁等过程进行受控登记管理；</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3.现行有效文件应便于专业人员取用。</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restart"/>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质量管理体系运行情况</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80</w:t>
            </w:r>
          </w:p>
        </w:tc>
        <w:tc>
          <w:tcPr>
            <w:tcW w:w="2420"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内审全面、有效。</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核查年度内审计划、实施记录及内审报告，要求：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1.应制定年度内审计划，按照计划实施内审，详细记录内审过程和内审发现，出具内审报告；</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2.应对质量管理体系检测和评价相关要素进行全面内审；</w:t>
            </w:r>
          </w:p>
          <w:p>
            <w:pPr>
              <w:adjustRightInd w:val="0"/>
              <w:snapToGrid w:val="0"/>
              <w:spacing w:line="264" w:lineRule="exact"/>
              <w:jc w:val="left"/>
              <w:rPr>
                <w:rFonts w:hint="eastAsia" w:ascii="仿宋_GB2312" w:hAnsi="仿宋_GB2312" w:eastAsia="仿宋_GB2312" w:cs="仿宋_GB2312"/>
                <w:bCs/>
                <w:sz w:val="21"/>
                <w:szCs w:val="21"/>
                <w:lang w:eastAsia="zh-CN"/>
              </w:rPr>
            </w:pPr>
            <w:r>
              <w:rPr>
                <w:rFonts w:hint="eastAsia" w:ascii="仿宋_GB2312" w:hAnsi="仿宋_GB2312" w:cs="仿宋_GB2312"/>
                <w:bCs/>
                <w:sz w:val="21"/>
                <w:szCs w:val="21"/>
              </w:rPr>
              <w:t>3.对内审不符合项进行有效整改</w:t>
            </w:r>
            <w:r>
              <w:rPr>
                <w:rFonts w:hint="eastAsia" w:ascii="仿宋_GB2312" w:hAnsi="仿宋_GB2312" w:cs="仿宋_GB2312"/>
                <w:bCs/>
                <w:sz w:val="21"/>
                <w:szCs w:val="21"/>
                <w:lang w:eastAsia="zh-CN"/>
              </w:rPr>
              <w:t>；</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4.内审相关文件、记录应进行归档、保存。</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81</w:t>
            </w:r>
          </w:p>
        </w:tc>
        <w:tc>
          <w:tcPr>
            <w:tcW w:w="2420"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管理评审全面、有效。</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核查年度管理评审实施记录及管理评审报告，要求：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1.应制定定期管理评审计划，按照计划实施评审，详细记录评审过程和评审发现，出具管理评审报告；</w:t>
            </w:r>
          </w:p>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2.质量体系外部文件变化情况、内审发现问题及整改措施、日常质量管理发现问题、质量管理体系运行情况、投诉处理等情况应有效输入管理评审；</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3.管理评审相关文件、记录应进行归档、保存。</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82</w:t>
            </w:r>
          </w:p>
        </w:tc>
        <w:tc>
          <w:tcPr>
            <w:tcW w:w="2420"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纠正和预防措施可行、落实有效。</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核查纠正和预防措施记录，要求：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1.纠正和预防措施覆盖内审、管理评审和日常质量控制活动等体系运行过程所发现的不符合情况；</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2.纠正和预防措施的制定与实施记录完整。实验室发现存在潜在不符合的原因时应详细记录并采取有效预防措施；</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3.纠正和预防措施原因分析准确、实施效果有跟踪验证。</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bl>
    <w:p>
      <w:pPr>
        <w:sectPr>
          <w:headerReference r:id="rId5" w:type="default"/>
          <w:footerReference r:id="rId6" w:type="default"/>
          <w:pgSz w:w="16838" w:h="11906" w:orient="landscape"/>
          <w:pgMar w:top="1797" w:right="1440" w:bottom="1797" w:left="1440" w:header="851" w:footer="992" w:gutter="0"/>
          <w:pgBorders>
            <w:top w:val="none" w:sz="0" w:space="0"/>
            <w:left w:val="none" w:sz="0" w:space="0"/>
            <w:bottom w:val="none" w:sz="0" w:space="0"/>
            <w:right w:val="none" w:sz="0" w:space="0"/>
          </w:pgBorders>
          <w:cols w:space="720" w:num="1"/>
          <w:docGrid w:type="lines" w:linePitch="312" w:charSpace="0"/>
        </w:sectPr>
      </w:pPr>
      <w:r>
        <w:rPr>
          <w:rFonts w:eastAsia="宋体"/>
          <w:sz w:val="21"/>
        </w:rPr>
        <w:t>注</w:t>
      </w:r>
      <w:r>
        <w:rPr>
          <w:rFonts w:hint="eastAsia" w:eastAsia="宋体"/>
          <w:sz w:val="21"/>
        </w:rPr>
        <w:t>：标注</w:t>
      </w:r>
      <w:r>
        <w:rPr>
          <w:rFonts w:hint="eastAsia" w:eastAsia="宋体"/>
          <w:kern w:val="0"/>
          <w:sz w:val="20"/>
          <w:szCs w:val="20"/>
        </w:rPr>
        <w:t xml:space="preserve"> “★”的为否决项。</w:t>
      </w:r>
    </w:p>
    <w:p>
      <w:pPr>
        <w:jc w:val="center"/>
        <w:rPr>
          <w:rFonts w:ascii="华文中宋" w:hAnsi="华文中宋" w:eastAsia="华文中宋"/>
          <w:b/>
          <w:sz w:val="36"/>
          <w:szCs w:val="36"/>
        </w:rPr>
      </w:pPr>
      <w:r>
        <w:rPr>
          <w:rFonts w:ascii="华文中宋" w:hAnsi="华文中宋" w:eastAsia="华文中宋"/>
          <w:b/>
          <w:sz w:val="36"/>
          <w:szCs w:val="36"/>
        </w:rPr>
        <w:t>现场技术考核判定标准</w:t>
      </w:r>
    </w:p>
    <w:p>
      <w:pPr>
        <w:adjustRightInd w:val="0"/>
        <w:snapToGrid w:val="0"/>
        <w:spacing w:line="264" w:lineRule="exact"/>
        <w:ind w:firstLine="482" w:firstLineChars="200"/>
        <w:jc w:val="left"/>
        <w:rPr>
          <w:rFonts w:hint="eastAsia" w:ascii="仿宋_GB2312" w:hAnsi="仿宋_GB2312" w:cs="仿宋_GB2312"/>
          <w:b/>
          <w:bCs/>
          <w:sz w:val="24"/>
          <w:szCs w:val="24"/>
        </w:rPr>
      </w:pPr>
    </w:p>
    <w:p>
      <w:pPr>
        <w:adjustRightInd w:val="0"/>
        <w:snapToGrid w:val="0"/>
        <w:spacing w:line="240" w:lineRule="auto"/>
        <w:ind w:firstLine="643" w:firstLineChars="200"/>
        <w:jc w:val="left"/>
        <w:rPr>
          <w:rFonts w:hint="eastAsia" w:ascii="仿宋_GB2312" w:hAnsi="仿宋_GB2312" w:cs="仿宋_GB2312"/>
          <w:b/>
          <w:bCs/>
          <w:sz w:val="32"/>
          <w:szCs w:val="32"/>
        </w:rPr>
      </w:pPr>
      <w:r>
        <w:rPr>
          <w:rFonts w:hint="eastAsia" w:ascii="仿宋_GB2312" w:hAnsi="仿宋_GB2312" w:cs="仿宋_GB2312"/>
          <w:b/>
          <w:bCs/>
          <w:sz w:val="32"/>
          <w:szCs w:val="32"/>
        </w:rPr>
        <w:t>（一）现场技术考核评审项汇总</w:t>
      </w:r>
    </w:p>
    <w:p>
      <w:pPr>
        <w:adjustRightInd w:val="0"/>
        <w:snapToGrid w:val="0"/>
        <w:spacing w:line="464" w:lineRule="exact"/>
        <w:ind w:firstLine="560" w:firstLineChars="200"/>
        <w:jc w:val="left"/>
        <w:rPr>
          <w:rFonts w:hint="eastAsia" w:ascii="仿宋_GB2312" w:hAnsi="仿宋_GB2312" w:cs="仿宋_GB2312"/>
          <w:b w:val="0"/>
          <w:bCs/>
          <w:sz w:val="28"/>
          <w:szCs w:val="28"/>
        </w:rPr>
      </w:pPr>
      <w:r>
        <w:rPr>
          <w:rFonts w:hint="eastAsia" w:ascii="仿宋_GB2312" w:hAnsi="仿宋_GB2312" w:cs="仿宋_GB2312"/>
          <w:b w:val="0"/>
          <w:bCs/>
          <w:sz w:val="28"/>
          <w:szCs w:val="28"/>
        </w:rPr>
        <w:t>1.第一类业务范围</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2528"/>
        <w:gridCol w:w="903"/>
        <w:gridCol w:w="1953"/>
        <w:gridCol w:w="1886"/>
        <w:gridCol w:w="1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81" w:type="dxa"/>
            <w:vMerge w:val="restart"/>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序号</w:t>
            </w:r>
          </w:p>
        </w:tc>
        <w:tc>
          <w:tcPr>
            <w:tcW w:w="2528" w:type="dxa"/>
            <w:vMerge w:val="restart"/>
            <w:noWrap w:val="0"/>
            <w:tcMar>
              <w:left w:w="454" w:type="dxa"/>
              <w:right w:w="454" w:type="dxa"/>
            </w:tcMar>
            <w:vAlign w:val="center"/>
          </w:tcPr>
          <w:p>
            <w:pPr>
              <w:adjustRightInd w:val="0"/>
              <w:snapToGrid w:val="0"/>
              <w:spacing w:line="264" w:lineRule="exact"/>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评审要素</w:t>
            </w:r>
          </w:p>
        </w:tc>
        <w:tc>
          <w:tcPr>
            <w:tcW w:w="903" w:type="dxa"/>
            <w:vMerge w:val="restart"/>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评审</w:t>
            </w:r>
          </w:p>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项目</w:t>
            </w:r>
          </w:p>
        </w:tc>
        <w:tc>
          <w:tcPr>
            <w:tcW w:w="4942" w:type="dxa"/>
            <w:gridSpan w:val="3"/>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评 审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81" w:type="dxa"/>
            <w:vMerge w:val="continue"/>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p>
        </w:tc>
        <w:tc>
          <w:tcPr>
            <w:tcW w:w="2528" w:type="dxa"/>
            <w:vMerge w:val="continue"/>
            <w:noWrap w:val="0"/>
            <w:tcMar>
              <w:left w:w="454" w:type="dxa"/>
              <w:right w:w="454" w:type="dxa"/>
            </w:tcMar>
            <w:vAlign w:val="center"/>
          </w:tcPr>
          <w:p>
            <w:pPr>
              <w:adjustRightInd w:val="0"/>
              <w:snapToGrid w:val="0"/>
              <w:spacing w:line="264" w:lineRule="exact"/>
              <w:jc w:val="both"/>
              <w:rPr>
                <w:rFonts w:hint="eastAsia" w:ascii="仿宋_GB2312" w:hAnsi="仿宋_GB2312" w:eastAsia="仿宋_GB2312" w:cs="仿宋_GB2312"/>
                <w:bCs/>
                <w:sz w:val="24"/>
                <w:szCs w:val="24"/>
              </w:rPr>
            </w:pPr>
          </w:p>
        </w:tc>
        <w:tc>
          <w:tcPr>
            <w:tcW w:w="903" w:type="dxa"/>
            <w:vMerge w:val="continue"/>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p>
        </w:tc>
        <w:tc>
          <w:tcPr>
            <w:tcW w:w="195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小  计</w:t>
            </w:r>
          </w:p>
        </w:tc>
        <w:tc>
          <w:tcPr>
            <w:tcW w:w="1886"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否 决 项</w:t>
            </w:r>
          </w:p>
        </w:tc>
        <w:tc>
          <w:tcPr>
            <w:tcW w:w="110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一般项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1"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w:t>
            </w:r>
          </w:p>
        </w:tc>
        <w:tc>
          <w:tcPr>
            <w:tcW w:w="2528" w:type="dxa"/>
            <w:noWrap w:val="0"/>
            <w:tcMar>
              <w:left w:w="454" w:type="dxa"/>
              <w:right w:w="454" w:type="dxa"/>
            </w:tcMar>
            <w:vAlign w:val="center"/>
          </w:tcPr>
          <w:p>
            <w:pPr>
              <w:adjustRightInd w:val="0"/>
              <w:snapToGrid w:val="0"/>
              <w:spacing w:line="264" w:lineRule="exact"/>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组织机构</w:t>
            </w:r>
          </w:p>
        </w:tc>
        <w:tc>
          <w:tcPr>
            <w:tcW w:w="90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w:t>
            </w:r>
          </w:p>
        </w:tc>
        <w:tc>
          <w:tcPr>
            <w:tcW w:w="195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7（乙级6项）</w:t>
            </w:r>
          </w:p>
        </w:tc>
        <w:tc>
          <w:tcPr>
            <w:tcW w:w="1886"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4（乙级3项）</w:t>
            </w:r>
          </w:p>
        </w:tc>
        <w:tc>
          <w:tcPr>
            <w:tcW w:w="110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1"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w:t>
            </w:r>
          </w:p>
        </w:tc>
        <w:tc>
          <w:tcPr>
            <w:tcW w:w="2528" w:type="dxa"/>
            <w:noWrap w:val="0"/>
            <w:tcMar>
              <w:left w:w="454" w:type="dxa"/>
              <w:right w:w="454" w:type="dxa"/>
            </w:tcMar>
            <w:vAlign w:val="center"/>
          </w:tcPr>
          <w:p>
            <w:pPr>
              <w:adjustRightInd w:val="0"/>
              <w:snapToGrid w:val="0"/>
              <w:spacing w:line="264" w:lineRule="exact"/>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人</w:t>
            </w:r>
            <w:r>
              <w:rPr>
                <w:rFonts w:hint="eastAsia" w:ascii="仿宋_GB2312" w:hAnsi="仿宋_GB2312" w:cs="仿宋_GB2312"/>
                <w:bCs/>
                <w:sz w:val="24"/>
                <w:szCs w:val="24"/>
                <w:lang w:val="en-US" w:eastAsia="zh-CN"/>
              </w:rPr>
              <w:t xml:space="preserve">    </w:t>
            </w:r>
            <w:r>
              <w:rPr>
                <w:rFonts w:hint="eastAsia" w:ascii="仿宋_GB2312" w:hAnsi="仿宋_GB2312" w:eastAsia="仿宋_GB2312" w:cs="仿宋_GB2312"/>
                <w:bCs/>
                <w:sz w:val="24"/>
                <w:szCs w:val="24"/>
              </w:rPr>
              <w:t>员</w:t>
            </w:r>
          </w:p>
        </w:tc>
        <w:tc>
          <w:tcPr>
            <w:tcW w:w="90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w:t>
            </w:r>
          </w:p>
        </w:tc>
        <w:tc>
          <w:tcPr>
            <w:tcW w:w="195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18</w:t>
            </w:r>
          </w:p>
        </w:tc>
        <w:tc>
          <w:tcPr>
            <w:tcW w:w="1886"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3</w:t>
            </w:r>
          </w:p>
        </w:tc>
        <w:tc>
          <w:tcPr>
            <w:tcW w:w="110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1"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3</w:t>
            </w:r>
          </w:p>
        </w:tc>
        <w:tc>
          <w:tcPr>
            <w:tcW w:w="2528" w:type="dxa"/>
            <w:noWrap w:val="0"/>
            <w:tcMar>
              <w:left w:w="454" w:type="dxa"/>
              <w:right w:w="454" w:type="dxa"/>
            </w:tcMar>
            <w:vAlign w:val="center"/>
          </w:tcPr>
          <w:p>
            <w:pPr>
              <w:adjustRightInd w:val="0"/>
              <w:snapToGrid w:val="0"/>
              <w:spacing w:line="264" w:lineRule="exact"/>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工作场所</w:t>
            </w:r>
          </w:p>
        </w:tc>
        <w:tc>
          <w:tcPr>
            <w:tcW w:w="90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w:t>
            </w:r>
          </w:p>
        </w:tc>
        <w:tc>
          <w:tcPr>
            <w:tcW w:w="195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15</w:t>
            </w:r>
          </w:p>
        </w:tc>
        <w:tc>
          <w:tcPr>
            <w:tcW w:w="1886"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w:t>
            </w:r>
          </w:p>
        </w:tc>
        <w:tc>
          <w:tcPr>
            <w:tcW w:w="110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1"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w:t>
            </w:r>
          </w:p>
        </w:tc>
        <w:tc>
          <w:tcPr>
            <w:tcW w:w="2528" w:type="dxa"/>
            <w:noWrap w:val="0"/>
            <w:tcMar>
              <w:left w:w="113" w:type="dxa"/>
              <w:right w:w="113" w:type="dxa"/>
            </w:tcMar>
            <w:vAlign w:val="center"/>
          </w:tcPr>
          <w:p>
            <w:pPr>
              <w:adjustRightInd w:val="0"/>
              <w:snapToGrid w:val="0"/>
              <w:spacing w:line="264" w:lineRule="exact"/>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仪器设备、标准物质</w:t>
            </w:r>
          </w:p>
        </w:tc>
        <w:tc>
          <w:tcPr>
            <w:tcW w:w="90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w:t>
            </w:r>
          </w:p>
        </w:tc>
        <w:tc>
          <w:tcPr>
            <w:tcW w:w="195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7</w:t>
            </w:r>
          </w:p>
        </w:tc>
        <w:tc>
          <w:tcPr>
            <w:tcW w:w="1886"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w:t>
            </w:r>
          </w:p>
        </w:tc>
        <w:tc>
          <w:tcPr>
            <w:tcW w:w="110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1"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w:t>
            </w:r>
          </w:p>
        </w:tc>
        <w:tc>
          <w:tcPr>
            <w:tcW w:w="2528" w:type="dxa"/>
            <w:noWrap w:val="0"/>
            <w:tcMar>
              <w:left w:w="454" w:type="dxa"/>
              <w:right w:w="454" w:type="dxa"/>
            </w:tcMar>
            <w:vAlign w:val="center"/>
          </w:tcPr>
          <w:p>
            <w:pPr>
              <w:adjustRightInd w:val="0"/>
              <w:snapToGrid w:val="0"/>
              <w:spacing w:line="264" w:lineRule="exact"/>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技术服务能力</w:t>
            </w:r>
          </w:p>
        </w:tc>
        <w:tc>
          <w:tcPr>
            <w:tcW w:w="90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w:t>
            </w:r>
          </w:p>
        </w:tc>
        <w:tc>
          <w:tcPr>
            <w:tcW w:w="195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24</w:t>
            </w:r>
          </w:p>
        </w:tc>
        <w:tc>
          <w:tcPr>
            <w:tcW w:w="1886"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w:t>
            </w:r>
          </w:p>
        </w:tc>
        <w:tc>
          <w:tcPr>
            <w:tcW w:w="110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1"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6</w:t>
            </w:r>
          </w:p>
        </w:tc>
        <w:tc>
          <w:tcPr>
            <w:tcW w:w="2528" w:type="dxa"/>
            <w:noWrap w:val="0"/>
            <w:tcMar>
              <w:left w:w="454" w:type="dxa"/>
              <w:right w:w="454" w:type="dxa"/>
            </w:tcMar>
            <w:vAlign w:val="center"/>
          </w:tcPr>
          <w:p>
            <w:pPr>
              <w:adjustRightInd w:val="0"/>
              <w:snapToGrid w:val="0"/>
              <w:spacing w:line="264" w:lineRule="exact"/>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质量管理体系</w:t>
            </w:r>
          </w:p>
        </w:tc>
        <w:tc>
          <w:tcPr>
            <w:tcW w:w="90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3</w:t>
            </w:r>
          </w:p>
        </w:tc>
        <w:tc>
          <w:tcPr>
            <w:tcW w:w="195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8</w:t>
            </w:r>
          </w:p>
        </w:tc>
        <w:tc>
          <w:tcPr>
            <w:tcW w:w="1886"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0</w:t>
            </w:r>
          </w:p>
        </w:tc>
        <w:tc>
          <w:tcPr>
            <w:tcW w:w="110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09" w:type="dxa"/>
            <w:gridSpan w:val="2"/>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合  计</w:t>
            </w:r>
          </w:p>
        </w:tc>
        <w:tc>
          <w:tcPr>
            <w:tcW w:w="90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24</w:t>
            </w:r>
          </w:p>
        </w:tc>
        <w:tc>
          <w:tcPr>
            <w:tcW w:w="1953" w:type="dxa"/>
            <w:noWrap w:val="0"/>
            <w:tcMar>
              <w:left w:w="28" w:type="dxa"/>
              <w:right w:w="28" w:type="dxa"/>
            </w:tcMar>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79（乙级78项）</w:t>
            </w:r>
          </w:p>
        </w:tc>
        <w:tc>
          <w:tcPr>
            <w:tcW w:w="1886"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11（乙级10项）</w:t>
            </w:r>
          </w:p>
        </w:tc>
        <w:tc>
          <w:tcPr>
            <w:tcW w:w="110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68</w:t>
            </w:r>
          </w:p>
        </w:tc>
      </w:tr>
    </w:tbl>
    <w:p>
      <w:pPr>
        <w:adjustRightInd w:val="0"/>
        <w:snapToGrid w:val="0"/>
        <w:spacing w:line="264" w:lineRule="exact"/>
        <w:ind w:firstLine="0" w:firstLineChars="0"/>
        <w:jc w:val="left"/>
        <w:rPr>
          <w:rFonts w:hint="eastAsia" w:ascii="仿宋_GB2312" w:hAnsi="仿宋_GB2312" w:cs="仿宋_GB2312"/>
          <w:b w:val="0"/>
          <w:bCs/>
          <w:sz w:val="24"/>
          <w:szCs w:val="24"/>
        </w:rPr>
      </w:pPr>
    </w:p>
    <w:p>
      <w:pPr>
        <w:adjustRightInd w:val="0"/>
        <w:snapToGrid w:val="0"/>
        <w:spacing w:line="364" w:lineRule="exact"/>
        <w:ind w:firstLine="560" w:firstLineChars="200"/>
        <w:jc w:val="left"/>
        <w:rPr>
          <w:rFonts w:hint="eastAsia" w:ascii="仿宋_GB2312" w:hAnsi="仿宋_GB2312" w:cs="仿宋_GB2312"/>
          <w:b w:val="0"/>
          <w:bCs/>
          <w:sz w:val="28"/>
          <w:szCs w:val="28"/>
        </w:rPr>
      </w:pPr>
      <w:r>
        <w:rPr>
          <w:rFonts w:hint="eastAsia" w:ascii="仿宋_GB2312" w:hAnsi="仿宋_GB2312" w:cs="仿宋_GB2312"/>
          <w:b w:val="0"/>
          <w:bCs/>
          <w:sz w:val="28"/>
          <w:szCs w:val="28"/>
        </w:rPr>
        <w:t>2.第二类业务范围</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3"/>
        <w:gridCol w:w="2517"/>
        <w:gridCol w:w="894"/>
        <w:gridCol w:w="1981"/>
        <w:gridCol w:w="1888"/>
        <w:gridCol w:w="1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73" w:type="dxa"/>
            <w:vMerge w:val="restart"/>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序号</w:t>
            </w:r>
          </w:p>
        </w:tc>
        <w:tc>
          <w:tcPr>
            <w:tcW w:w="2517" w:type="dxa"/>
            <w:vMerge w:val="restart"/>
            <w:noWrap w:val="0"/>
            <w:tcMar>
              <w:left w:w="454" w:type="dxa"/>
              <w:right w:w="454" w:type="dxa"/>
            </w:tcMar>
            <w:vAlign w:val="center"/>
          </w:tcPr>
          <w:p>
            <w:pPr>
              <w:adjustRightInd w:val="0"/>
              <w:snapToGrid w:val="0"/>
              <w:spacing w:line="264" w:lineRule="exact"/>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评审要素</w:t>
            </w:r>
          </w:p>
        </w:tc>
        <w:tc>
          <w:tcPr>
            <w:tcW w:w="894" w:type="dxa"/>
            <w:vMerge w:val="restart"/>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评审</w:t>
            </w:r>
          </w:p>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项目</w:t>
            </w:r>
          </w:p>
        </w:tc>
        <w:tc>
          <w:tcPr>
            <w:tcW w:w="4970" w:type="dxa"/>
            <w:gridSpan w:val="3"/>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评 审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73" w:type="dxa"/>
            <w:vMerge w:val="continue"/>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p>
        </w:tc>
        <w:tc>
          <w:tcPr>
            <w:tcW w:w="2517" w:type="dxa"/>
            <w:vMerge w:val="continue"/>
            <w:noWrap w:val="0"/>
            <w:tcMar>
              <w:left w:w="454" w:type="dxa"/>
              <w:right w:w="454" w:type="dxa"/>
            </w:tcMar>
            <w:vAlign w:val="center"/>
          </w:tcPr>
          <w:p>
            <w:pPr>
              <w:adjustRightInd w:val="0"/>
              <w:snapToGrid w:val="0"/>
              <w:spacing w:line="264" w:lineRule="exact"/>
              <w:jc w:val="both"/>
              <w:rPr>
                <w:rFonts w:hint="eastAsia" w:ascii="仿宋_GB2312" w:hAnsi="仿宋_GB2312" w:eastAsia="仿宋_GB2312" w:cs="仿宋_GB2312"/>
                <w:bCs/>
                <w:sz w:val="24"/>
                <w:szCs w:val="24"/>
              </w:rPr>
            </w:pPr>
          </w:p>
        </w:tc>
        <w:tc>
          <w:tcPr>
            <w:tcW w:w="894" w:type="dxa"/>
            <w:vMerge w:val="continue"/>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p>
        </w:tc>
        <w:tc>
          <w:tcPr>
            <w:tcW w:w="1981"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小  计</w:t>
            </w:r>
          </w:p>
        </w:tc>
        <w:tc>
          <w:tcPr>
            <w:tcW w:w="1888"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否 决 项</w:t>
            </w:r>
          </w:p>
        </w:tc>
        <w:tc>
          <w:tcPr>
            <w:tcW w:w="1101"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一般项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7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w:t>
            </w:r>
          </w:p>
        </w:tc>
        <w:tc>
          <w:tcPr>
            <w:tcW w:w="2517" w:type="dxa"/>
            <w:noWrap w:val="0"/>
            <w:tcMar>
              <w:left w:w="454" w:type="dxa"/>
              <w:right w:w="454" w:type="dxa"/>
            </w:tcMar>
            <w:vAlign w:val="center"/>
          </w:tcPr>
          <w:p>
            <w:pPr>
              <w:adjustRightInd w:val="0"/>
              <w:snapToGrid w:val="0"/>
              <w:spacing w:line="264" w:lineRule="exact"/>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组织机构</w:t>
            </w:r>
          </w:p>
        </w:tc>
        <w:tc>
          <w:tcPr>
            <w:tcW w:w="894"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w:t>
            </w:r>
          </w:p>
        </w:tc>
        <w:tc>
          <w:tcPr>
            <w:tcW w:w="1981"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7（乙级6项）</w:t>
            </w:r>
          </w:p>
        </w:tc>
        <w:tc>
          <w:tcPr>
            <w:tcW w:w="1888"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4（乙级3项）</w:t>
            </w:r>
          </w:p>
        </w:tc>
        <w:tc>
          <w:tcPr>
            <w:tcW w:w="1101"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7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w:t>
            </w:r>
          </w:p>
        </w:tc>
        <w:tc>
          <w:tcPr>
            <w:tcW w:w="2517" w:type="dxa"/>
            <w:noWrap w:val="0"/>
            <w:tcMar>
              <w:left w:w="454" w:type="dxa"/>
              <w:right w:w="454" w:type="dxa"/>
            </w:tcMar>
            <w:vAlign w:val="center"/>
          </w:tcPr>
          <w:p>
            <w:pPr>
              <w:adjustRightInd w:val="0"/>
              <w:snapToGrid w:val="0"/>
              <w:spacing w:line="264" w:lineRule="exact"/>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人</w:t>
            </w:r>
            <w:r>
              <w:rPr>
                <w:rFonts w:hint="eastAsia" w:ascii="仿宋_GB2312" w:hAnsi="仿宋_GB2312" w:cs="仿宋_GB2312"/>
                <w:bCs/>
                <w:sz w:val="24"/>
                <w:szCs w:val="24"/>
                <w:lang w:val="en-US" w:eastAsia="zh-CN"/>
              </w:rPr>
              <w:t xml:space="preserve">    </w:t>
            </w:r>
            <w:r>
              <w:rPr>
                <w:rFonts w:hint="eastAsia" w:ascii="仿宋_GB2312" w:hAnsi="仿宋_GB2312" w:eastAsia="仿宋_GB2312" w:cs="仿宋_GB2312"/>
                <w:bCs/>
                <w:sz w:val="24"/>
                <w:szCs w:val="24"/>
              </w:rPr>
              <w:t>员</w:t>
            </w:r>
          </w:p>
        </w:tc>
        <w:tc>
          <w:tcPr>
            <w:tcW w:w="894"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w:t>
            </w:r>
          </w:p>
        </w:tc>
        <w:tc>
          <w:tcPr>
            <w:tcW w:w="1981" w:type="dxa"/>
            <w:noWrap w:val="0"/>
            <w:vAlign w:val="center"/>
          </w:tcPr>
          <w:p>
            <w:pPr>
              <w:widowControl/>
              <w:adjustRightInd w:val="0"/>
              <w:snapToGrid w:val="0"/>
              <w:spacing w:line="264" w:lineRule="exact"/>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kern w:val="2"/>
                <w:sz w:val="24"/>
                <w:szCs w:val="24"/>
                <w:lang w:bidi="ar"/>
              </w:rPr>
              <w:t>16</w:t>
            </w:r>
          </w:p>
        </w:tc>
        <w:tc>
          <w:tcPr>
            <w:tcW w:w="1888"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3</w:t>
            </w:r>
          </w:p>
        </w:tc>
        <w:tc>
          <w:tcPr>
            <w:tcW w:w="1101"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7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3</w:t>
            </w:r>
          </w:p>
        </w:tc>
        <w:tc>
          <w:tcPr>
            <w:tcW w:w="2517" w:type="dxa"/>
            <w:noWrap w:val="0"/>
            <w:tcMar>
              <w:left w:w="454" w:type="dxa"/>
              <w:right w:w="454" w:type="dxa"/>
            </w:tcMar>
            <w:vAlign w:val="center"/>
          </w:tcPr>
          <w:p>
            <w:pPr>
              <w:adjustRightInd w:val="0"/>
              <w:snapToGrid w:val="0"/>
              <w:spacing w:line="264" w:lineRule="exact"/>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工作场所</w:t>
            </w:r>
          </w:p>
        </w:tc>
        <w:tc>
          <w:tcPr>
            <w:tcW w:w="894"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w:t>
            </w:r>
          </w:p>
        </w:tc>
        <w:tc>
          <w:tcPr>
            <w:tcW w:w="1981" w:type="dxa"/>
            <w:noWrap w:val="0"/>
            <w:vAlign w:val="center"/>
          </w:tcPr>
          <w:p>
            <w:pPr>
              <w:widowControl/>
              <w:adjustRightInd w:val="0"/>
              <w:snapToGrid w:val="0"/>
              <w:spacing w:line="264" w:lineRule="exact"/>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kern w:val="2"/>
                <w:sz w:val="24"/>
                <w:szCs w:val="24"/>
                <w:lang w:bidi="ar"/>
              </w:rPr>
              <w:t>13</w:t>
            </w:r>
          </w:p>
        </w:tc>
        <w:tc>
          <w:tcPr>
            <w:tcW w:w="1888"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w:t>
            </w:r>
          </w:p>
        </w:tc>
        <w:tc>
          <w:tcPr>
            <w:tcW w:w="1101"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7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w:t>
            </w:r>
          </w:p>
        </w:tc>
        <w:tc>
          <w:tcPr>
            <w:tcW w:w="2517" w:type="dxa"/>
            <w:noWrap w:val="0"/>
            <w:tcMar>
              <w:left w:w="170" w:type="dxa"/>
              <w:right w:w="170" w:type="dxa"/>
            </w:tcMar>
            <w:vAlign w:val="center"/>
          </w:tcPr>
          <w:p>
            <w:pPr>
              <w:adjustRightInd w:val="0"/>
              <w:snapToGrid w:val="0"/>
              <w:spacing w:line="264" w:lineRule="exact"/>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仪器设备、标准物质</w:t>
            </w:r>
          </w:p>
        </w:tc>
        <w:tc>
          <w:tcPr>
            <w:tcW w:w="894"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w:t>
            </w:r>
          </w:p>
        </w:tc>
        <w:tc>
          <w:tcPr>
            <w:tcW w:w="1981" w:type="dxa"/>
            <w:noWrap w:val="0"/>
            <w:vAlign w:val="center"/>
          </w:tcPr>
          <w:p>
            <w:pPr>
              <w:widowControl/>
              <w:adjustRightInd w:val="0"/>
              <w:snapToGrid w:val="0"/>
              <w:spacing w:line="264" w:lineRule="exact"/>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kern w:val="2"/>
                <w:sz w:val="24"/>
                <w:szCs w:val="24"/>
                <w:lang w:bidi="ar"/>
              </w:rPr>
              <w:t>7</w:t>
            </w:r>
          </w:p>
        </w:tc>
        <w:tc>
          <w:tcPr>
            <w:tcW w:w="1888"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w:t>
            </w:r>
          </w:p>
        </w:tc>
        <w:tc>
          <w:tcPr>
            <w:tcW w:w="1101"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7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w:t>
            </w:r>
          </w:p>
        </w:tc>
        <w:tc>
          <w:tcPr>
            <w:tcW w:w="2517" w:type="dxa"/>
            <w:noWrap w:val="0"/>
            <w:tcMar>
              <w:left w:w="454" w:type="dxa"/>
              <w:right w:w="454" w:type="dxa"/>
            </w:tcMar>
            <w:vAlign w:val="center"/>
          </w:tcPr>
          <w:p>
            <w:pPr>
              <w:adjustRightInd w:val="0"/>
              <w:snapToGrid w:val="0"/>
              <w:spacing w:line="264" w:lineRule="exact"/>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技术服务能力</w:t>
            </w:r>
          </w:p>
        </w:tc>
        <w:tc>
          <w:tcPr>
            <w:tcW w:w="894"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w:t>
            </w:r>
          </w:p>
        </w:tc>
        <w:tc>
          <w:tcPr>
            <w:tcW w:w="1981" w:type="dxa"/>
            <w:noWrap w:val="0"/>
            <w:vAlign w:val="center"/>
          </w:tcPr>
          <w:p>
            <w:pPr>
              <w:widowControl/>
              <w:adjustRightInd w:val="0"/>
              <w:snapToGrid w:val="0"/>
              <w:spacing w:line="264" w:lineRule="exact"/>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kern w:val="2"/>
                <w:sz w:val="24"/>
                <w:szCs w:val="24"/>
                <w:lang w:bidi="ar"/>
              </w:rPr>
              <w:t>24</w:t>
            </w:r>
          </w:p>
        </w:tc>
        <w:tc>
          <w:tcPr>
            <w:tcW w:w="1888"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w:t>
            </w:r>
          </w:p>
        </w:tc>
        <w:tc>
          <w:tcPr>
            <w:tcW w:w="1101"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7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6</w:t>
            </w:r>
          </w:p>
        </w:tc>
        <w:tc>
          <w:tcPr>
            <w:tcW w:w="2517" w:type="dxa"/>
            <w:noWrap w:val="0"/>
            <w:tcMar>
              <w:left w:w="454" w:type="dxa"/>
              <w:right w:w="454" w:type="dxa"/>
            </w:tcMar>
            <w:vAlign w:val="center"/>
          </w:tcPr>
          <w:p>
            <w:pPr>
              <w:adjustRightInd w:val="0"/>
              <w:snapToGrid w:val="0"/>
              <w:spacing w:line="264" w:lineRule="exact"/>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质量管理体系</w:t>
            </w:r>
          </w:p>
        </w:tc>
        <w:tc>
          <w:tcPr>
            <w:tcW w:w="894"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3</w:t>
            </w:r>
          </w:p>
        </w:tc>
        <w:tc>
          <w:tcPr>
            <w:tcW w:w="1981" w:type="dxa"/>
            <w:noWrap w:val="0"/>
            <w:vAlign w:val="center"/>
          </w:tcPr>
          <w:p>
            <w:pPr>
              <w:widowControl/>
              <w:adjustRightInd w:val="0"/>
              <w:snapToGrid w:val="0"/>
              <w:spacing w:line="264" w:lineRule="exact"/>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kern w:val="2"/>
                <w:sz w:val="24"/>
                <w:szCs w:val="24"/>
                <w:lang w:bidi="ar"/>
              </w:rPr>
              <w:t>8</w:t>
            </w:r>
          </w:p>
        </w:tc>
        <w:tc>
          <w:tcPr>
            <w:tcW w:w="1888"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0</w:t>
            </w:r>
          </w:p>
        </w:tc>
        <w:tc>
          <w:tcPr>
            <w:tcW w:w="1101"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090" w:type="dxa"/>
            <w:gridSpan w:val="2"/>
            <w:noWrap w:val="0"/>
            <w:tcMar>
              <w:left w:w="1134" w:type="dxa"/>
              <w:right w:w="1134" w:type="dxa"/>
            </w:tcMar>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合计</w:t>
            </w:r>
          </w:p>
        </w:tc>
        <w:tc>
          <w:tcPr>
            <w:tcW w:w="894"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24</w:t>
            </w:r>
          </w:p>
        </w:tc>
        <w:tc>
          <w:tcPr>
            <w:tcW w:w="1981" w:type="dxa"/>
            <w:noWrap w:val="0"/>
            <w:tcMar>
              <w:left w:w="57" w:type="dxa"/>
              <w:right w:w="57" w:type="dxa"/>
            </w:tcMar>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75（乙级74项）</w:t>
            </w:r>
          </w:p>
        </w:tc>
        <w:tc>
          <w:tcPr>
            <w:tcW w:w="1888" w:type="dxa"/>
            <w:noWrap w:val="0"/>
            <w:tcMar>
              <w:left w:w="57" w:type="dxa"/>
              <w:right w:w="57" w:type="dxa"/>
            </w:tcMar>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11（乙级10项）</w:t>
            </w:r>
          </w:p>
        </w:tc>
        <w:tc>
          <w:tcPr>
            <w:tcW w:w="1101" w:type="dxa"/>
            <w:noWrap w:val="0"/>
            <w:tcMar>
              <w:left w:w="57" w:type="dxa"/>
              <w:right w:w="57" w:type="dxa"/>
            </w:tcMar>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64</w:t>
            </w:r>
          </w:p>
        </w:tc>
      </w:tr>
    </w:tbl>
    <w:p>
      <w:pPr>
        <w:adjustRightInd w:val="0"/>
        <w:snapToGrid w:val="0"/>
        <w:spacing w:line="264" w:lineRule="exact"/>
        <w:ind w:firstLine="0" w:firstLineChars="0"/>
        <w:jc w:val="left"/>
        <w:rPr>
          <w:rFonts w:hint="eastAsia" w:ascii="仿宋_GB2312" w:hAnsi="仿宋_GB2312" w:cs="仿宋_GB2312"/>
          <w:b/>
          <w:bCs w:val="0"/>
          <w:sz w:val="24"/>
          <w:szCs w:val="24"/>
        </w:rPr>
      </w:pPr>
    </w:p>
    <w:p>
      <w:pPr>
        <w:adjustRightInd w:val="0"/>
        <w:snapToGrid w:val="0"/>
        <w:spacing w:line="240" w:lineRule="auto"/>
        <w:ind w:firstLine="643" w:firstLineChars="200"/>
        <w:jc w:val="left"/>
        <w:rPr>
          <w:rFonts w:hint="eastAsia" w:ascii="仿宋_GB2312" w:hAnsi="仿宋_GB2312" w:cs="仿宋_GB2312"/>
          <w:b/>
          <w:bCs w:val="0"/>
          <w:sz w:val="32"/>
          <w:szCs w:val="32"/>
        </w:rPr>
      </w:pPr>
      <w:r>
        <w:rPr>
          <w:rFonts w:hint="eastAsia" w:ascii="仿宋_GB2312" w:hAnsi="仿宋_GB2312" w:cs="仿宋_GB2312"/>
          <w:b/>
          <w:bCs w:val="0"/>
          <w:sz w:val="32"/>
          <w:szCs w:val="32"/>
        </w:rPr>
        <w:t>（二）审定标准</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8"/>
        <w:gridCol w:w="2747"/>
        <w:gridCol w:w="3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038" w:type="dxa"/>
            <w:noWrap w:val="0"/>
            <w:vAlign w:val="center"/>
          </w:tcPr>
          <w:p>
            <w:pPr>
              <w:adjustRightInd w:val="0"/>
              <w:snapToGrid w:val="0"/>
              <w:spacing w:line="264" w:lineRule="exact"/>
              <w:jc w:val="center"/>
              <w:rPr>
                <w:rFonts w:hint="eastAsia"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评审结论</w:t>
            </w:r>
          </w:p>
        </w:tc>
        <w:tc>
          <w:tcPr>
            <w:tcW w:w="2747" w:type="dxa"/>
            <w:noWrap w:val="0"/>
            <w:vAlign w:val="center"/>
          </w:tcPr>
          <w:p>
            <w:pPr>
              <w:adjustRightInd w:val="0"/>
              <w:snapToGrid w:val="0"/>
              <w:spacing w:line="264" w:lineRule="exact"/>
              <w:jc w:val="center"/>
              <w:rPr>
                <w:rFonts w:hint="eastAsia"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否 决 项</w:t>
            </w:r>
          </w:p>
        </w:tc>
        <w:tc>
          <w:tcPr>
            <w:tcW w:w="3743" w:type="dxa"/>
            <w:noWrap w:val="0"/>
            <w:vAlign w:val="center"/>
          </w:tcPr>
          <w:p>
            <w:pPr>
              <w:adjustRightInd w:val="0"/>
              <w:snapToGrid w:val="0"/>
              <w:spacing w:line="264" w:lineRule="exact"/>
              <w:jc w:val="center"/>
              <w:rPr>
                <w:rFonts w:hint="eastAsia"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一 般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2038" w:type="dxa"/>
            <w:noWrap w:val="0"/>
            <w:vAlign w:val="center"/>
          </w:tcPr>
          <w:p>
            <w:pPr>
              <w:adjustRightInd w:val="0"/>
              <w:snapToGrid w:val="0"/>
              <w:spacing w:line="264" w:lineRule="exact"/>
              <w:jc w:val="center"/>
              <w:rPr>
                <w:rFonts w:hint="eastAsia"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通  过</w:t>
            </w:r>
          </w:p>
        </w:tc>
        <w:tc>
          <w:tcPr>
            <w:tcW w:w="2747" w:type="dxa"/>
            <w:noWrap w:val="0"/>
            <w:vAlign w:val="center"/>
          </w:tcPr>
          <w:p>
            <w:pPr>
              <w:adjustRightInd w:val="0"/>
              <w:snapToGrid w:val="0"/>
              <w:spacing w:line="264" w:lineRule="exact"/>
              <w:jc w:val="center"/>
              <w:rPr>
                <w:rFonts w:hint="eastAsia"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全 部 符 合</w:t>
            </w:r>
          </w:p>
        </w:tc>
        <w:tc>
          <w:tcPr>
            <w:tcW w:w="3743" w:type="dxa"/>
            <w:noWrap w:val="0"/>
            <w:vAlign w:val="center"/>
          </w:tcPr>
          <w:p>
            <w:pPr>
              <w:adjustRightInd w:val="0"/>
              <w:snapToGrid w:val="0"/>
              <w:spacing w:line="264" w:lineRule="exact"/>
              <w:jc w:val="center"/>
              <w:rPr>
                <w:rFonts w:hint="eastAsia"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不符合项≤5项，且不符合项与基本符合项合计≤10项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2038" w:type="dxa"/>
            <w:noWrap w:val="0"/>
            <w:vAlign w:val="center"/>
          </w:tcPr>
          <w:p>
            <w:pPr>
              <w:adjustRightInd w:val="0"/>
              <w:snapToGrid w:val="0"/>
              <w:spacing w:line="264" w:lineRule="exact"/>
              <w:jc w:val="center"/>
              <w:rPr>
                <w:rFonts w:hint="eastAsia"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不通过</w:t>
            </w:r>
          </w:p>
        </w:tc>
        <w:tc>
          <w:tcPr>
            <w:tcW w:w="2747" w:type="dxa"/>
            <w:noWrap w:val="0"/>
            <w:vAlign w:val="center"/>
          </w:tcPr>
          <w:p>
            <w:pPr>
              <w:adjustRightInd w:val="0"/>
              <w:snapToGrid w:val="0"/>
              <w:spacing w:line="264" w:lineRule="exact"/>
              <w:jc w:val="center"/>
              <w:rPr>
                <w:rFonts w:hint="eastAsia"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不符合项≥1项</w:t>
            </w:r>
          </w:p>
        </w:tc>
        <w:tc>
          <w:tcPr>
            <w:tcW w:w="3743" w:type="dxa"/>
            <w:noWrap w:val="0"/>
            <w:vAlign w:val="center"/>
          </w:tcPr>
          <w:p>
            <w:pPr>
              <w:adjustRightInd w:val="0"/>
              <w:snapToGrid w:val="0"/>
              <w:spacing w:line="264" w:lineRule="exact"/>
              <w:jc w:val="center"/>
              <w:rPr>
                <w:rFonts w:hint="eastAsia"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不符合项&gt;5项，或者不符合项与基本符合项合计&gt;10项</w:t>
            </w:r>
          </w:p>
        </w:tc>
      </w:tr>
    </w:tbl>
    <w:p>
      <w:pPr>
        <w:adjustRightInd w:val="0"/>
        <w:snapToGrid w:val="0"/>
        <w:spacing w:line="264" w:lineRule="exact"/>
        <w:jc w:val="left"/>
        <w:rPr>
          <w:sz w:val="24"/>
        </w:rPr>
        <w:sectPr>
          <w:pgSz w:w="11906" w:h="16838"/>
          <w:pgMar w:top="1440" w:right="1797" w:bottom="1440" w:left="1797" w:header="720" w:footer="720" w:gutter="0"/>
          <w:pgBorders>
            <w:top w:val="none" w:sz="0" w:space="0"/>
            <w:left w:val="none" w:sz="0" w:space="0"/>
            <w:bottom w:val="none" w:sz="0" w:space="0"/>
            <w:right w:val="none" w:sz="0" w:space="0"/>
          </w:pgBorders>
          <w:cols w:space="720" w:num="1"/>
          <w:docGrid w:type="lines" w:linePitch="312" w:charSpace="0"/>
        </w:sectPr>
      </w:pPr>
      <w:r>
        <w:rPr>
          <w:rFonts w:hint="eastAsia" w:ascii="仿宋_GB2312" w:hAnsi="仿宋_GB2312" w:eastAsia="仿宋_GB2312" w:cs="仿宋_GB2312"/>
          <w:bCs/>
          <w:kern w:val="2"/>
          <w:sz w:val="24"/>
          <w:szCs w:val="24"/>
        </w:rPr>
        <w:t>注：“否决项”和“一般项”均符合审定标准，评审结论为“通过”。“否决项”或“一般项”不符合审定标准，评审结论为“不通过”。</w:t>
      </w:r>
    </w:p>
    <w:p>
      <w:pPr>
        <w:jc w:val="left"/>
        <w:outlineLvl w:val="0"/>
        <w:rPr>
          <w:rFonts w:hint="eastAsia" w:ascii="黑体" w:hAnsi="黑体" w:eastAsia="黑体" w:cs="黑体"/>
          <w:szCs w:val="32"/>
          <w:shd w:val="clear" w:color="auto" w:fill="FFFFFF"/>
          <w:lang w:bidi="ar"/>
        </w:rPr>
      </w:pPr>
      <w:r>
        <w:rPr>
          <w:rFonts w:hint="eastAsia" w:ascii="黑体" w:hAnsi="黑体" w:eastAsia="黑体" w:cs="黑体"/>
          <w:szCs w:val="32"/>
          <w:shd w:val="clear" w:color="auto" w:fill="FFFFFF"/>
          <w:lang w:bidi="ar"/>
        </w:rPr>
        <w:t>附录1</w:t>
      </w:r>
    </w:p>
    <w:p>
      <w:pPr>
        <w:keepNext/>
        <w:keepLines/>
        <w:adjustRightInd w:val="0"/>
        <w:snapToGrid w:val="0"/>
        <w:jc w:val="center"/>
        <w:outlineLvl w:val="1"/>
        <w:rPr>
          <w:rFonts w:ascii="华文中宋" w:hAnsi="华文中宋" w:eastAsia="华文中宋"/>
          <w:b/>
          <w:bCs/>
          <w:kern w:val="0"/>
          <w:sz w:val="44"/>
          <w:szCs w:val="36"/>
          <w:shd w:val="clear" w:color="auto" w:fill="FFFFFF"/>
          <w:lang w:bidi="ar"/>
        </w:rPr>
      </w:pPr>
      <w:r>
        <w:rPr>
          <w:rFonts w:ascii="华文中宋" w:hAnsi="华文中宋" w:eastAsia="华文中宋"/>
          <w:b/>
          <w:sz w:val="36"/>
          <w:szCs w:val="36"/>
        </w:rPr>
        <w:t>职业卫生技术服务机构业务范围划分表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23"/>
        <w:gridCol w:w="992"/>
        <w:gridCol w:w="1102"/>
        <w:gridCol w:w="6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trPr>
        <w:tc>
          <w:tcPr>
            <w:tcW w:w="723" w:type="dxa"/>
            <w:noWrap w:val="0"/>
            <w:tcMar>
              <w:top w:w="15" w:type="dxa"/>
              <w:left w:w="15" w:type="dxa"/>
              <w:right w:w="15" w:type="dxa"/>
            </w:tcMar>
            <w:vAlign w:val="center"/>
          </w:tcPr>
          <w:p>
            <w:pPr>
              <w:widowControl/>
              <w:spacing w:line="270"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lang w:bidi="ar"/>
              </w:rPr>
              <w:t>序号</w:t>
            </w:r>
          </w:p>
        </w:tc>
        <w:tc>
          <w:tcPr>
            <w:tcW w:w="2094" w:type="dxa"/>
            <w:gridSpan w:val="2"/>
            <w:noWrap w:val="0"/>
            <w:tcMar>
              <w:top w:w="15" w:type="dxa"/>
              <w:left w:w="15" w:type="dxa"/>
              <w:right w:w="15" w:type="dxa"/>
            </w:tcMar>
            <w:vAlign w:val="center"/>
          </w:tcPr>
          <w:p>
            <w:pPr>
              <w:widowControl/>
              <w:spacing w:line="270"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lang w:bidi="ar"/>
              </w:rPr>
              <w:t>业务范围</w:t>
            </w:r>
          </w:p>
        </w:tc>
        <w:tc>
          <w:tcPr>
            <w:tcW w:w="6353" w:type="dxa"/>
            <w:noWrap w:val="0"/>
            <w:tcMar>
              <w:top w:w="15" w:type="dxa"/>
              <w:left w:w="15" w:type="dxa"/>
              <w:right w:w="15" w:type="dxa"/>
            </w:tcMar>
            <w:vAlign w:val="center"/>
          </w:tcPr>
          <w:p>
            <w:pPr>
              <w:widowControl/>
              <w:spacing w:line="270"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lang w:bidi="ar"/>
              </w:rPr>
              <w:t>具体业务行业领域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0" w:hRule="atLeast"/>
        </w:trPr>
        <w:tc>
          <w:tcPr>
            <w:tcW w:w="723" w:type="dxa"/>
            <w:noWrap w:val="0"/>
            <w:tcMar>
              <w:top w:w="15" w:type="dxa"/>
              <w:left w:w="15" w:type="dxa"/>
              <w:right w:w="15" w:type="dxa"/>
            </w:tcMar>
            <w:vAlign w:val="center"/>
          </w:tcPr>
          <w:p>
            <w:pPr>
              <w:widowControl/>
              <w:spacing w:line="27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1</w:t>
            </w:r>
          </w:p>
        </w:tc>
        <w:tc>
          <w:tcPr>
            <w:tcW w:w="992" w:type="dxa"/>
            <w:vMerge w:val="restart"/>
            <w:noWrap w:val="0"/>
            <w:tcMar>
              <w:top w:w="15" w:type="dxa"/>
              <w:left w:w="15" w:type="dxa"/>
              <w:right w:w="15" w:type="dxa"/>
            </w:tcMar>
            <w:vAlign w:val="center"/>
          </w:tcPr>
          <w:p>
            <w:pPr>
              <w:spacing w:line="270" w:lineRule="exact"/>
              <w:jc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第 一 类</w:t>
            </w:r>
          </w:p>
          <w:p>
            <w:pPr>
              <w:spacing w:line="270" w:lineRule="exact"/>
              <w:jc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业务范围</w:t>
            </w:r>
          </w:p>
        </w:tc>
        <w:tc>
          <w:tcPr>
            <w:tcW w:w="1102" w:type="dxa"/>
            <w:noWrap w:val="0"/>
            <w:tcMar>
              <w:top w:w="15" w:type="dxa"/>
              <w:left w:w="15" w:type="dxa"/>
              <w:right w:w="15" w:type="dxa"/>
            </w:tcMar>
            <w:vAlign w:val="center"/>
          </w:tcPr>
          <w:p>
            <w:pPr>
              <w:widowControl/>
              <w:spacing w:line="270" w:lineRule="exact"/>
              <w:jc w:val="center"/>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采矿业</w:t>
            </w:r>
          </w:p>
        </w:tc>
        <w:tc>
          <w:tcPr>
            <w:tcW w:w="6353" w:type="dxa"/>
            <w:noWrap w:val="0"/>
            <w:tcMar>
              <w:top w:w="15" w:type="dxa"/>
              <w:left w:w="15" w:type="dxa"/>
              <w:right w:w="15" w:type="dxa"/>
            </w:tcMar>
            <w:vAlign w:val="center"/>
          </w:tcPr>
          <w:p>
            <w:pPr>
              <w:spacing w:line="270" w:lineRule="exact"/>
              <w:jc w:val="left"/>
              <w:rPr>
                <w:rFonts w:hint="eastAsia" w:ascii="仿宋_GB2312" w:hAnsi="仿宋_GB2312" w:cs="仿宋_GB2312"/>
                <w:sz w:val="21"/>
                <w:szCs w:val="21"/>
              </w:rPr>
            </w:pPr>
            <w:r>
              <w:rPr>
                <w:rFonts w:hint="eastAsia" w:ascii="仿宋_GB2312" w:hAnsi="仿宋_GB2312" w:cs="仿宋_GB2312"/>
                <w:kern w:val="0"/>
                <w:sz w:val="21"/>
                <w:szCs w:val="21"/>
                <w:lang w:bidi="ar"/>
              </w:rPr>
              <w:t>（1）</w:t>
            </w:r>
            <w:r>
              <w:rPr>
                <w:rFonts w:hint="eastAsia" w:ascii="仿宋_GB2312" w:hAnsi="仿宋_GB2312" w:cs="仿宋_GB2312"/>
                <w:sz w:val="21"/>
                <w:szCs w:val="21"/>
              </w:rPr>
              <w:t>煤炭开采和洗选业</w:t>
            </w:r>
          </w:p>
          <w:p>
            <w:pPr>
              <w:spacing w:line="270" w:lineRule="exact"/>
              <w:jc w:val="left"/>
              <w:rPr>
                <w:rFonts w:hint="eastAsia" w:ascii="仿宋_GB2312" w:hAnsi="仿宋_GB2312" w:cs="仿宋_GB2312"/>
                <w:sz w:val="21"/>
                <w:szCs w:val="21"/>
              </w:rPr>
            </w:pPr>
            <w:r>
              <w:rPr>
                <w:rFonts w:hint="eastAsia" w:ascii="仿宋_GB2312" w:hAnsi="仿宋_GB2312" w:cs="仿宋_GB2312"/>
                <w:kern w:val="0"/>
                <w:sz w:val="21"/>
                <w:szCs w:val="21"/>
                <w:lang w:bidi="ar"/>
              </w:rPr>
              <w:t>（2）</w:t>
            </w:r>
            <w:r>
              <w:rPr>
                <w:rFonts w:hint="eastAsia" w:ascii="仿宋_GB2312" w:hAnsi="仿宋_GB2312" w:cs="仿宋_GB2312"/>
                <w:sz w:val="21"/>
                <w:szCs w:val="21"/>
              </w:rPr>
              <w:t>黑色金属矿采选业</w:t>
            </w:r>
          </w:p>
          <w:p>
            <w:pPr>
              <w:spacing w:line="270" w:lineRule="exact"/>
              <w:jc w:val="left"/>
              <w:rPr>
                <w:rFonts w:hint="eastAsia" w:ascii="仿宋_GB2312" w:hAnsi="仿宋_GB2312" w:cs="仿宋_GB2312"/>
                <w:sz w:val="21"/>
                <w:szCs w:val="21"/>
              </w:rPr>
            </w:pPr>
            <w:r>
              <w:rPr>
                <w:rFonts w:hint="eastAsia" w:ascii="仿宋_GB2312" w:hAnsi="仿宋_GB2312" w:cs="仿宋_GB2312"/>
                <w:kern w:val="0"/>
                <w:sz w:val="21"/>
                <w:szCs w:val="21"/>
                <w:lang w:bidi="ar"/>
              </w:rPr>
              <w:t>（3）</w:t>
            </w:r>
            <w:r>
              <w:rPr>
                <w:rFonts w:hint="eastAsia" w:ascii="仿宋_GB2312" w:hAnsi="仿宋_GB2312" w:cs="仿宋_GB2312"/>
                <w:sz w:val="21"/>
                <w:szCs w:val="21"/>
              </w:rPr>
              <w:t>有色金属矿采选业</w:t>
            </w:r>
          </w:p>
          <w:p>
            <w:pPr>
              <w:spacing w:line="270" w:lineRule="exact"/>
              <w:jc w:val="left"/>
              <w:rPr>
                <w:rFonts w:hint="eastAsia" w:ascii="仿宋_GB2312" w:hAnsi="仿宋_GB2312" w:cs="仿宋_GB2312"/>
                <w:sz w:val="21"/>
                <w:szCs w:val="21"/>
              </w:rPr>
            </w:pPr>
            <w:r>
              <w:rPr>
                <w:rFonts w:hint="eastAsia" w:ascii="仿宋_GB2312" w:hAnsi="仿宋_GB2312" w:cs="仿宋_GB2312"/>
                <w:kern w:val="0"/>
                <w:sz w:val="21"/>
                <w:szCs w:val="21"/>
                <w:lang w:bidi="ar"/>
              </w:rPr>
              <w:t>（4）</w:t>
            </w:r>
            <w:r>
              <w:rPr>
                <w:rFonts w:hint="eastAsia" w:ascii="仿宋_GB2312" w:hAnsi="仿宋_GB2312" w:cs="仿宋_GB2312"/>
                <w:sz w:val="21"/>
                <w:szCs w:val="21"/>
              </w:rPr>
              <w:t>非金属矿采选业</w:t>
            </w:r>
          </w:p>
          <w:p>
            <w:pPr>
              <w:spacing w:line="270" w:lineRule="exact"/>
              <w:jc w:val="left"/>
              <w:rPr>
                <w:rFonts w:hint="eastAsia" w:ascii="仿宋_GB2312" w:hAnsi="仿宋_GB2312" w:cs="仿宋_GB2312"/>
                <w:sz w:val="21"/>
                <w:szCs w:val="21"/>
              </w:rPr>
            </w:pPr>
            <w:r>
              <w:rPr>
                <w:rFonts w:hint="eastAsia" w:ascii="仿宋_GB2312" w:hAnsi="仿宋_GB2312" w:cs="仿宋_GB2312"/>
                <w:kern w:val="0"/>
                <w:sz w:val="21"/>
                <w:szCs w:val="21"/>
                <w:lang w:bidi="ar"/>
              </w:rPr>
              <w:t>（5）</w:t>
            </w:r>
            <w:r>
              <w:rPr>
                <w:rFonts w:hint="eastAsia" w:ascii="仿宋_GB2312" w:hAnsi="仿宋_GB2312" w:cs="仿宋_GB2312"/>
                <w:sz w:val="21"/>
                <w:szCs w:val="21"/>
              </w:rPr>
              <w:t>开采专业及辅助性活动</w:t>
            </w:r>
          </w:p>
          <w:p>
            <w:pPr>
              <w:spacing w:line="270" w:lineRule="exact"/>
              <w:jc w:val="left"/>
              <w:rPr>
                <w:rFonts w:hint="eastAsia" w:ascii="仿宋_GB2312" w:hAnsi="仿宋_GB2312" w:cs="仿宋_GB2312"/>
                <w:sz w:val="21"/>
                <w:szCs w:val="21"/>
              </w:rPr>
            </w:pPr>
            <w:r>
              <w:rPr>
                <w:rFonts w:hint="eastAsia" w:ascii="仿宋_GB2312" w:hAnsi="仿宋_GB2312" w:cs="仿宋_GB2312"/>
                <w:kern w:val="0"/>
                <w:sz w:val="21"/>
                <w:szCs w:val="21"/>
                <w:lang w:bidi="ar"/>
              </w:rPr>
              <w:t>（6）石油和天然气开采业</w:t>
            </w:r>
          </w:p>
          <w:p>
            <w:pPr>
              <w:widowControl/>
              <w:spacing w:line="27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（7）</w:t>
            </w:r>
            <w:r>
              <w:rPr>
                <w:rFonts w:hint="eastAsia" w:ascii="仿宋_GB2312" w:hAnsi="仿宋_GB2312" w:cs="仿宋_GB2312"/>
                <w:sz w:val="21"/>
                <w:szCs w:val="21"/>
              </w:rPr>
              <w:t>其他采矿业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7" w:hRule="atLeast"/>
        </w:trPr>
        <w:tc>
          <w:tcPr>
            <w:tcW w:w="723" w:type="dxa"/>
            <w:noWrap w:val="0"/>
            <w:tcMar>
              <w:top w:w="15" w:type="dxa"/>
              <w:left w:w="15" w:type="dxa"/>
              <w:right w:w="15" w:type="dxa"/>
            </w:tcMar>
            <w:vAlign w:val="center"/>
          </w:tcPr>
          <w:p>
            <w:pPr>
              <w:widowControl/>
              <w:spacing w:line="27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2</w:t>
            </w:r>
          </w:p>
        </w:tc>
        <w:tc>
          <w:tcPr>
            <w:tcW w:w="992" w:type="dxa"/>
            <w:vMerge w:val="continue"/>
            <w:noWrap w:val="0"/>
            <w:tcMar>
              <w:top w:w="15" w:type="dxa"/>
              <w:left w:w="15" w:type="dxa"/>
              <w:right w:w="15" w:type="dxa"/>
            </w:tcMar>
            <w:vAlign w:val="center"/>
          </w:tcPr>
          <w:p>
            <w:pPr>
              <w:widowControl/>
              <w:spacing w:line="270" w:lineRule="exact"/>
              <w:jc w:val="center"/>
              <w:textAlignment w:val="center"/>
              <w:rPr>
                <w:rFonts w:hint="eastAsia" w:ascii="仿宋_GB2312" w:hAnsi="仿宋_GB2312" w:cs="仿宋_GB2312"/>
                <w:kern w:val="0"/>
                <w:sz w:val="21"/>
                <w:szCs w:val="21"/>
                <w:lang w:bidi="ar"/>
              </w:rPr>
            </w:pPr>
          </w:p>
        </w:tc>
        <w:tc>
          <w:tcPr>
            <w:tcW w:w="1102" w:type="dxa"/>
            <w:noWrap w:val="0"/>
            <w:tcMar>
              <w:top w:w="15" w:type="dxa"/>
              <w:left w:w="15" w:type="dxa"/>
              <w:right w:w="15" w:type="dxa"/>
            </w:tcMar>
            <w:vAlign w:val="center"/>
          </w:tcPr>
          <w:p>
            <w:pPr>
              <w:widowControl/>
              <w:spacing w:line="270" w:lineRule="exact"/>
              <w:jc w:val="center"/>
              <w:textAlignment w:val="center"/>
              <w:rPr>
                <w:rFonts w:hint="eastAsia" w:ascii="仿宋_GB2312" w:hAnsi="仿宋_GB2312" w:cs="仿宋_GB2312"/>
                <w:kern w:val="0"/>
                <w:sz w:val="21"/>
                <w:szCs w:val="21"/>
                <w:lang w:bidi="ar"/>
              </w:rPr>
            </w:pPr>
            <w:r>
              <w:rPr>
                <w:rFonts w:hint="eastAsia" w:ascii="仿宋_GB2312" w:hAnsi="仿宋_GB2312" w:cs="仿宋_GB2312"/>
                <w:sz w:val="21"/>
                <w:szCs w:val="21"/>
                <w:shd w:val="clear" w:color="auto" w:fill="FFFFFF"/>
              </w:rPr>
              <w:t>化工、石化及医药</w:t>
            </w:r>
          </w:p>
        </w:tc>
        <w:tc>
          <w:tcPr>
            <w:tcW w:w="6353" w:type="dxa"/>
            <w:noWrap w:val="0"/>
            <w:tcMar>
              <w:top w:w="15" w:type="dxa"/>
              <w:left w:w="15" w:type="dxa"/>
              <w:right w:w="15" w:type="dxa"/>
            </w:tcMar>
            <w:vAlign w:val="center"/>
          </w:tcPr>
          <w:p>
            <w:pPr>
              <w:spacing w:line="270" w:lineRule="exact"/>
              <w:jc w:val="left"/>
              <w:rPr>
                <w:rFonts w:hint="eastAsia" w:ascii="仿宋_GB2312" w:hAnsi="仿宋_GB2312" w:cs="仿宋_GB2312"/>
                <w:sz w:val="21"/>
                <w:szCs w:val="21"/>
              </w:rPr>
            </w:pPr>
            <w:r>
              <w:rPr>
                <w:rFonts w:hint="eastAsia" w:ascii="仿宋_GB2312" w:hAnsi="仿宋_GB2312" w:cs="仿宋_GB2312"/>
                <w:kern w:val="0"/>
                <w:sz w:val="21"/>
                <w:szCs w:val="21"/>
                <w:lang w:bidi="ar"/>
              </w:rPr>
              <w:t>（1）</w:t>
            </w:r>
            <w:r>
              <w:rPr>
                <w:rFonts w:hint="eastAsia" w:ascii="仿宋_GB2312" w:hAnsi="仿宋_GB2312" w:cs="仿宋_GB2312"/>
                <w:sz w:val="21"/>
                <w:szCs w:val="21"/>
              </w:rPr>
              <w:t>石油、煤炭及其他燃料加工业</w:t>
            </w:r>
          </w:p>
          <w:p>
            <w:pPr>
              <w:spacing w:line="270" w:lineRule="exact"/>
              <w:jc w:val="left"/>
              <w:rPr>
                <w:rFonts w:hint="eastAsia" w:ascii="仿宋_GB2312" w:hAnsi="仿宋_GB2312" w:cs="仿宋_GB2312"/>
                <w:sz w:val="21"/>
                <w:szCs w:val="21"/>
              </w:rPr>
            </w:pPr>
            <w:r>
              <w:rPr>
                <w:rFonts w:hint="eastAsia" w:ascii="仿宋_GB2312" w:hAnsi="仿宋_GB2312" w:cs="仿宋_GB2312"/>
                <w:kern w:val="0"/>
                <w:sz w:val="21"/>
                <w:szCs w:val="21"/>
                <w:lang w:bidi="ar"/>
              </w:rPr>
              <w:t>（2）</w:t>
            </w:r>
            <w:r>
              <w:rPr>
                <w:rFonts w:hint="eastAsia" w:ascii="仿宋_GB2312" w:hAnsi="仿宋_GB2312" w:cs="仿宋_GB2312"/>
                <w:sz w:val="21"/>
                <w:szCs w:val="21"/>
              </w:rPr>
              <w:t>化学原料和化学制品制造业</w:t>
            </w:r>
          </w:p>
          <w:p>
            <w:pPr>
              <w:spacing w:line="270" w:lineRule="exact"/>
              <w:jc w:val="left"/>
              <w:rPr>
                <w:rFonts w:hint="eastAsia" w:ascii="仿宋_GB2312" w:hAnsi="仿宋_GB2312" w:cs="仿宋_GB2312"/>
                <w:sz w:val="21"/>
                <w:szCs w:val="21"/>
              </w:rPr>
            </w:pPr>
            <w:r>
              <w:rPr>
                <w:rFonts w:hint="eastAsia" w:ascii="仿宋_GB2312" w:hAnsi="仿宋_GB2312" w:cs="仿宋_GB2312"/>
                <w:kern w:val="0"/>
                <w:sz w:val="21"/>
                <w:szCs w:val="21"/>
                <w:lang w:bidi="ar"/>
              </w:rPr>
              <w:t>（3）</w:t>
            </w:r>
            <w:r>
              <w:rPr>
                <w:rFonts w:hint="eastAsia" w:ascii="仿宋_GB2312" w:hAnsi="仿宋_GB2312" w:cs="仿宋_GB2312"/>
                <w:sz w:val="21"/>
                <w:szCs w:val="21"/>
              </w:rPr>
              <w:t>医药制造业</w:t>
            </w:r>
          </w:p>
          <w:p>
            <w:pPr>
              <w:spacing w:line="270" w:lineRule="exact"/>
              <w:jc w:val="left"/>
              <w:rPr>
                <w:rFonts w:hint="eastAsia" w:ascii="仿宋_GB2312" w:hAnsi="仿宋_GB2312" w:cs="仿宋_GB2312"/>
                <w:sz w:val="21"/>
                <w:szCs w:val="21"/>
              </w:rPr>
            </w:pPr>
            <w:r>
              <w:rPr>
                <w:rFonts w:hint="eastAsia" w:ascii="仿宋_GB2312" w:hAnsi="仿宋_GB2312" w:cs="仿宋_GB2312"/>
                <w:kern w:val="0"/>
                <w:sz w:val="21"/>
                <w:szCs w:val="21"/>
                <w:lang w:bidi="ar"/>
              </w:rPr>
              <w:t>（4）</w:t>
            </w:r>
            <w:r>
              <w:rPr>
                <w:rFonts w:hint="eastAsia" w:ascii="仿宋_GB2312" w:hAnsi="仿宋_GB2312" w:cs="仿宋_GB2312"/>
                <w:sz w:val="21"/>
                <w:szCs w:val="21"/>
              </w:rPr>
              <w:t>化学纤维制造业</w:t>
            </w:r>
          </w:p>
          <w:p>
            <w:pPr>
              <w:widowControl/>
              <w:spacing w:line="27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（5）</w:t>
            </w:r>
            <w:r>
              <w:rPr>
                <w:rFonts w:hint="eastAsia" w:ascii="仿宋_GB2312" w:hAnsi="仿宋_GB2312" w:cs="仿宋_GB2312"/>
                <w:sz w:val="21"/>
                <w:szCs w:val="21"/>
              </w:rPr>
              <w:t>橡胶和塑料制品业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723" w:type="dxa"/>
            <w:noWrap w:val="0"/>
            <w:tcMar>
              <w:top w:w="15" w:type="dxa"/>
              <w:left w:w="15" w:type="dxa"/>
              <w:right w:w="15" w:type="dxa"/>
            </w:tcMar>
            <w:vAlign w:val="center"/>
          </w:tcPr>
          <w:p>
            <w:pPr>
              <w:widowControl/>
              <w:spacing w:line="27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3</w:t>
            </w:r>
          </w:p>
        </w:tc>
        <w:tc>
          <w:tcPr>
            <w:tcW w:w="992" w:type="dxa"/>
            <w:vMerge w:val="continue"/>
            <w:noWrap w:val="0"/>
            <w:tcMar>
              <w:top w:w="15" w:type="dxa"/>
              <w:left w:w="15" w:type="dxa"/>
              <w:right w:w="15" w:type="dxa"/>
            </w:tcMar>
            <w:vAlign w:val="center"/>
          </w:tcPr>
          <w:p>
            <w:pPr>
              <w:widowControl/>
              <w:spacing w:line="270" w:lineRule="exact"/>
              <w:jc w:val="center"/>
              <w:textAlignment w:val="center"/>
              <w:rPr>
                <w:rFonts w:hint="eastAsia" w:ascii="仿宋_GB2312" w:hAnsi="仿宋_GB2312" w:cs="仿宋_GB2312"/>
                <w:kern w:val="0"/>
                <w:sz w:val="21"/>
                <w:szCs w:val="21"/>
                <w:lang w:bidi="ar"/>
              </w:rPr>
            </w:pPr>
          </w:p>
        </w:tc>
        <w:tc>
          <w:tcPr>
            <w:tcW w:w="1102" w:type="dxa"/>
            <w:noWrap w:val="0"/>
            <w:tcMar>
              <w:top w:w="15" w:type="dxa"/>
              <w:left w:w="15" w:type="dxa"/>
              <w:right w:w="15" w:type="dxa"/>
            </w:tcMar>
            <w:vAlign w:val="center"/>
          </w:tcPr>
          <w:p>
            <w:pPr>
              <w:widowControl/>
              <w:spacing w:line="270" w:lineRule="exact"/>
              <w:jc w:val="center"/>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冶金、建材</w:t>
            </w:r>
          </w:p>
        </w:tc>
        <w:tc>
          <w:tcPr>
            <w:tcW w:w="6353" w:type="dxa"/>
            <w:noWrap w:val="0"/>
            <w:tcMar>
              <w:top w:w="15" w:type="dxa"/>
              <w:left w:w="15" w:type="dxa"/>
              <w:right w:w="15" w:type="dxa"/>
            </w:tcMar>
            <w:vAlign w:val="center"/>
          </w:tcPr>
          <w:p>
            <w:pPr>
              <w:widowControl/>
              <w:spacing w:line="27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（1）黑色金属冶炼和压延加工业</w:t>
            </w:r>
          </w:p>
          <w:p>
            <w:pPr>
              <w:widowControl/>
              <w:spacing w:line="27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（2）有色金属冶炼和压延加工业</w:t>
            </w:r>
          </w:p>
          <w:p>
            <w:pPr>
              <w:widowControl/>
              <w:spacing w:line="27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（3）非金属矿物制品业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6" w:hRule="atLeast"/>
        </w:trPr>
        <w:tc>
          <w:tcPr>
            <w:tcW w:w="723" w:type="dxa"/>
            <w:noWrap w:val="0"/>
            <w:tcMar>
              <w:top w:w="15" w:type="dxa"/>
              <w:left w:w="15" w:type="dxa"/>
              <w:right w:w="15" w:type="dxa"/>
            </w:tcMar>
            <w:vAlign w:val="center"/>
          </w:tcPr>
          <w:p>
            <w:pPr>
              <w:widowControl/>
              <w:spacing w:line="270" w:lineRule="exact"/>
              <w:jc w:val="center"/>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4</w:t>
            </w:r>
          </w:p>
        </w:tc>
        <w:tc>
          <w:tcPr>
            <w:tcW w:w="992" w:type="dxa"/>
            <w:vMerge w:val="continue"/>
            <w:noWrap w:val="0"/>
            <w:tcMar>
              <w:top w:w="15" w:type="dxa"/>
              <w:left w:w="15" w:type="dxa"/>
              <w:right w:w="15" w:type="dxa"/>
            </w:tcMar>
            <w:vAlign w:val="center"/>
          </w:tcPr>
          <w:p>
            <w:pPr>
              <w:spacing w:line="270" w:lineRule="exact"/>
              <w:jc w:val="center"/>
              <w:rPr>
                <w:rFonts w:hint="eastAsia" w:ascii="仿宋_GB2312" w:hAnsi="仿宋_GB2312" w:cs="仿宋_GB2312"/>
                <w:kern w:val="0"/>
                <w:sz w:val="21"/>
                <w:szCs w:val="21"/>
                <w:lang w:bidi="ar"/>
              </w:rPr>
            </w:pPr>
          </w:p>
        </w:tc>
        <w:tc>
          <w:tcPr>
            <w:tcW w:w="1102" w:type="dxa"/>
            <w:noWrap w:val="0"/>
            <w:tcMar>
              <w:top w:w="15" w:type="dxa"/>
              <w:left w:w="15" w:type="dxa"/>
              <w:right w:w="15" w:type="dxa"/>
            </w:tcMar>
            <w:vAlign w:val="center"/>
          </w:tcPr>
          <w:p>
            <w:pPr>
              <w:spacing w:line="270" w:lineRule="exact"/>
              <w:jc w:val="center"/>
              <w:rPr>
                <w:rFonts w:hint="eastAsia" w:ascii="仿宋_GB2312" w:hAnsi="仿宋_GB2312" w:cs="仿宋_GB2312"/>
                <w:kern w:val="0"/>
                <w:sz w:val="21"/>
                <w:szCs w:val="21"/>
                <w:lang w:bidi="ar"/>
              </w:rPr>
            </w:pPr>
            <w:r>
              <w:rPr>
                <w:rFonts w:hint="eastAsia" w:ascii="仿宋_GB2312" w:hAnsi="仿宋_GB2312" w:cs="仿宋_GB2312"/>
                <w:sz w:val="21"/>
                <w:szCs w:val="21"/>
              </w:rPr>
              <w:t>机械制造、电力、纺织、建筑和交通运输等行业领域</w:t>
            </w:r>
          </w:p>
        </w:tc>
        <w:tc>
          <w:tcPr>
            <w:tcW w:w="6353" w:type="dxa"/>
            <w:noWrap w:val="0"/>
            <w:tcMar>
              <w:top w:w="15" w:type="dxa"/>
              <w:left w:w="15" w:type="dxa"/>
              <w:right w:w="15" w:type="dxa"/>
            </w:tcMar>
            <w:vAlign w:val="center"/>
          </w:tcPr>
          <w:p>
            <w:pPr>
              <w:widowControl/>
              <w:spacing w:line="27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（1）制造业（</w:t>
            </w:r>
            <w:r>
              <w:rPr>
                <w:rFonts w:hint="eastAsia" w:ascii="仿宋_GB2312" w:hAnsi="仿宋_GB2312" w:cs="仿宋_GB2312"/>
                <w:sz w:val="21"/>
                <w:szCs w:val="21"/>
                <w:shd w:val="clear" w:color="auto" w:fill="FFFFFF"/>
              </w:rPr>
              <w:t>化工、石化及医药、</w:t>
            </w:r>
            <w:r>
              <w:rPr>
                <w:rFonts w:hint="eastAsia" w:ascii="仿宋_GB2312" w:hAnsi="仿宋_GB2312" w:cs="仿宋_GB2312"/>
                <w:kern w:val="0"/>
                <w:sz w:val="21"/>
                <w:szCs w:val="21"/>
                <w:lang w:bidi="ar"/>
              </w:rPr>
              <w:t>冶金、建材</w:t>
            </w:r>
            <w:r>
              <w:rPr>
                <w:rFonts w:hint="eastAsia" w:ascii="仿宋_GB2312" w:hAnsi="仿宋_GB2312" w:cs="仿宋_GB2312"/>
                <w:sz w:val="21"/>
                <w:szCs w:val="21"/>
                <w:shd w:val="clear" w:color="auto" w:fill="FFFFFF"/>
              </w:rPr>
              <w:t>行业</w:t>
            </w:r>
            <w:r>
              <w:rPr>
                <w:rFonts w:hint="eastAsia" w:ascii="仿宋_GB2312" w:hAnsi="仿宋_GB2312" w:cs="仿宋_GB2312"/>
                <w:kern w:val="0"/>
                <w:sz w:val="21"/>
                <w:szCs w:val="21"/>
                <w:lang w:bidi="ar"/>
              </w:rPr>
              <w:t>除外）</w:t>
            </w:r>
          </w:p>
          <w:p>
            <w:pPr>
              <w:widowControl/>
              <w:spacing w:line="27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（2）电力、热力、燃气及水生产和供应业</w:t>
            </w:r>
          </w:p>
          <w:p>
            <w:pPr>
              <w:widowControl/>
              <w:spacing w:line="27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（3）建筑业</w:t>
            </w:r>
          </w:p>
          <w:p>
            <w:pPr>
              <w:widowControl/>
              <w:spacing w:line="27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（4）交通运输、仓储和邮政业</w:t>
            </w:r>
          </w:p>
          <w:p>
            <w:pPr>
              <w:widowControl/>
              <w:spacing w:line="27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（5）住宿和餐饮业</w:t>
            </w:r>
          </w:p>
          <w:p>
            <w:pPr>
              <w:widowControl/>
              <w:spacing w:line="27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（6）科学研究和技术服务业</w:t>
            </w:r>
          </w:p>
          <w:p>
            <w:pPr>
              <w:spacing w:line="270" w:lineRule="exact"/>
              <w:rPr>
                <w:rFonts w:hint="eastAsia" w:ascii="仿宋_GB2312" w:hAnsi="仿宋_GB2312" w:cs="仿宋_GB2312"/>
                <w:sz w:val="21"/>
                <w:szCs w:val="21"/>
              </w:rPr>
            </w:pPr>
            <w:r>
              <w:rPr>
                <w:rFonts w:hint="eastAsia" w:ascii="仿宋_GB2312" w:hAnsi="仿宋_GB2312" w:cs="仿宋_GB2312"/>
                <w:kern w:val="0"/>
                <w:sz w:val="21"/>
                <w:szCs w:val="21"/>
                <w:lang w:bidi="ar"/>
              </w:rPr>
              <w:t>（7）其他存在职业病危害的行业领域（采矿业、</w:t>
            </w:r>
            <w:r>
              <w:rPr>
                <w:rFonts w:hint="eastAsia" w:ascii="仿宋_GB2312" w:hAnsi="仿宋_GB2312" w:cs="仿宋_GB2312"/>
                <w:sz w:val="21"/>
                <w:szCs w:val="21"/>
                <w:shd w:val="clear" w:color="auto" w:fill="FFFFFF"/>
              </w:rPr>
              <w:t>化工、石化及医药、</w:t>
            </w:r>
            <w:r>
              <w:rPr>
                <w:rFonts w:hint="eastAsia" w:ascii="仿宋_GB2312" w:hAnsi="仿宋_GB2312" w:cs="仿宋_GB2312"/>
                <w:kern w:val="0"/>
                <w:sz w:val="21"/>
                <w:szCs w:val="21"/>
                <w:lang w:bidi="ar"/>
              </w:rPr>
              <w:t>冶金、建材除外）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2" w:hRule="atLeast"/>
        </w:trPr>
        <w:tc>
          <w:tcPr>
            <w:tcW w:w="723" w:type="dxa"/>
            <w:noWrap w:val="0"/>
            <w:tcMar>
              <w:top w:w="15" w:type="dxa"/>
              <w:left w:w="15" w:type="dxa"/>
              <w:right w:w="15" w:type="dxa"/>
            </w:tcMar>
            <w:vAlign w:val="center"/>
          </w:tcPr>
          <w:p>
            <w:pPr>
              <w:widowControl/>
              <w:spacing w:line="27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5</w:t>
            </w:r>
          </w:p>
        </w:tc>
        <w:tc>
          <w:tcPr>
            <w:tcW w:w="992" w:type="dxa"/>
            <w:vMerge w:val="restart"/>
            <w:noWrap w:val="0"/>
            <w:tcMar>
              <w:top w:w="15" w:type="dxa"/>
              <w:left w:w="15" w:type="dxa"/>
              <w:right w:w="15" w:type="dxa"/>
            </w:tcMar>
            <w:vAlign w:val="center"/>
          </w:tcPr>
          <w:p>
            <w:pPr>
              <w:widowControl/>
              <w:spacing w:line="270" w:lineRule="exact"/>
              <w:jc w:val="center"/>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第 二 类</w:t>
            </w:r>
          </w:p>
          <w:p>
            <w:pPr>
              <w:widowControl/>
              <w:spacing w:line="270" w:lineRule="exact"/>
              <w:jc w:val="center"/>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业务范围</w:t>
            </w:r>
          </w:p>
        </w:tc>
        <w:tc>
          <w:tcPr>
            <w:tcW w:w="1102" w:type="dxa"/>
            <w:noWrap w:val="0"/>
            <w:tcMar>
              <w:top w:w="15" w:type="dxa"/>
              <w:left w:w="15" w:type="dxa"/>
              <w:right w:w="15" w:type="dxa"/>
            </w:tcMar>
            <w:vAlign w:val="center"/>
          </w:tcPr>
          <w:p>
            <w:pPr>
              <w:widowControl/>
              <w:spacing w:line="27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核设施</w:t>
            </w:r>
          </w:p>
        </w:tc>
        <w:tc>
          <w:tcPr>
            <w:tcW w:w="6353" w:type="dxa"/>
            <w:noWrap w:val="0"/>
            <w:tcMar>
              <w:top w:w="15" w:type="dxa"/>
              <w:left w:w="15" w:type="dxa"/>
              <w:right w:w="15" w:type="dxa"/>
            </w:tcMar>
            <w:vAlign w:val="center"/>
          </w:tcPr>
          <w:p>
            <w:pPr>
              <w:widowControl/>
              <w:spacing w:line="270" w:lineRule="exact"/>
              <w:jc w:val="left"/>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（1）核动力厂（核电厂、核热电厂、核供汽供热厂等）和其他反应堆（研究堆、实验堆、临界装置等）</w:t>
            </w:r>
          </w:p>
          <w:p>
            <w:pPr>
              <w:widowControl/>
              <w:spacing w:line="270" w:lineRule="exact"/>
              <w:jc w:val="left"/>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（2）核燃料生产、加工、贮存和后处理设施</w:t>
            </w:r>
          </w:p>
          <w:p>
            <w:pPr>
              <w:widowControl/>
              <w:spacing w:line="270" w:lineRule="exact"/>
              <w:jc w:val="left"/>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（3）放射性废物的处理和处置设施</w:t>
            </w:r>
          </w:p>
          <w:p>
            <w:pPr>
              <w:widowControl/>
              <w:spacing w:line="270" w:lineRule="exact"/>
              <w:jc w:val="left"/>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（4）50MeV以上中、高能加速器</w:t>
            </w:r>
          </w:p>
          <w:p>
            <w:pPr>
              <w:widowControl/>
              <w:spacing w:line="270" w:lineRule="exact"/>
              <w:jc w:val="left"/>
              <w:rPr>
                <w:rFonts w:hint="eastAsia" w:ascii="仿宋_GB2312" w:hAnsi="仿宋_GB2312" w:cs="仿宋_GB2312"/>
                <w:sz w:val="21"/>
              </w:rPr>
            </w:pPr>
            <w:r>
              <w:rPr>
                <w:rFonts w:hint="eastAsia" w:ascii="仿宋_GB2312" w:hAnsi="仿宋_GB2312" w:cs="仿宋_GB2312"/>
                <w:kern w:val="0"/>
                <w:sz w:val="21"/>
                <w:szCs w:val="21"/>
                <w:lang w:bidi="ar"/>
              </w:rPr>
              <w:t>（5）大型辐照装置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trPr>
        <w:tc>
          <w:tcPr>
            <w:tcW w:w="723" w:type="dxa"/>
            <w:noWrap w:val="0"/>
            <w:tcMar>
              <w:top w:w="15" w:type="dxa"/>
              <w:left w:w="15" w:type="dxa"/>
              <w:right w:w="15" w:type="dxa"/>
            </w:tcMar>
            <w:vAlign w:val="center"/>
          </w:tcPr>
          <w:p>
            <w:pPr>
              <w:widowControl/>
              <w:spacing w:line="27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6</w:t>
            </w:r>
          </w:p>
        </w:tc>
        <w:tc>
          <w:tcPr>
            <w:tcW w:w="992" w:type="dxa"/>
            <w:vMerge w:val="continue"/>
            <w:noWrap w:val="0"/>
            <w:tcMar>
              <w:top w:w="15" w:type="dxa"/>
              <w:left w:w="15" w:type="dxa"/>
              <w:right w:w="15" w:type="dxa"/>
            </w:tcMar>
            <w:vAlign w:val="center"/>
          </w:tcPr>
          <w:p>
            <w:pPr>
              <w:widowControl/>
              <w:spacing w:line="270" w:lineRule="exact"/>
              <w:textAlignment w:val="center"/>
              <w:rPr>
                <w:rFonts w:hint="eastAsia" w:ascii="仿宋_GB2312" w:hAnsi="仿宋_GB2312" w:cs="仿宋_GB2312"/>
                <w:kern w:val="0"/>
                <w:sz w:val="21"/>
                <w:szCs w:val="21"/>
                <w:lang w:bidi="ar"/>
              </w:rPr>
            </w:pPr>
          </w:p>
        </w:tc>
        <w:tc>
          <w:tcPr>
            <w:tcW w:w="1102" w:type="dxa"/>
            <w:noWrap w:val="0"/>
            <w:tcMar>
              <w:top w:w="15" w:type="dxa"/>
              <w:left w:w="15" w:type="dxa"/>
              <w:right w:w="15" w:type="dxa"/>
            </w:tcMar>
            <w:vAlign w:val="center"/>
          </w:tcPr>
          <w:p>
            <w:pPr>
              <w:widowControl/>
              <w:spacing w:line="27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核技术工业应用</w:t>
            </w:r>
          </w:p>
        </w:tc>
        <w:tc>
          <w:tcPr>
            <w:tcW w:w="6353" w:type="dxa"/>
            <w:noWrap w:val="0"/>
            <w:tcMar>
              <w:top w:w="15" w:type="dxa"/>
              <w:left w:w="15" w:type="dxa"/>
              <w:right w:w="15" w:type="dxa"/>
            </w:tcMar>
            <w:vAlign w:val="center"/>
          </w:tcPr>
          <w:p>
            <w:pPr>
              <w:widowControl/>
              <w:spacing w:line="27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（1）工业辐照（大型辐照装置除外）</w:t>
            </w:r>
          </w:p>
          <w:p>
            <w:pPr>
              <w:widowControl/>
              <w:spacing w:line="27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（2）工业探伤</w:t>
            </w:r>
          </w:p>
          <w:p>
            <w:pPr>
              <w:widowControl/>
              <w:spacing w:line="27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（3）发光涂料工业</w:t>
            </w:r>
          </w:p>
          <w:p>
            <w:pPr>
              <w:widowControl/>
              <w:spacing w:line="27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（4）放射性同位素生产</w:t>
            </w:r>
          </w:p>
          <w:p>
            <w:pPr>
              <w:widowControl/>
              <w:spacing w:line="27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（5）测井</w:t>
            </w:r>
          </w:p>
          <w:p>
            <w:pPr>
              <w:widowControl/>
              <w:spacing w:line="27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（6）加速器运行（50MeV以上中、高能加速器除外）</w:t>
            </w:r>
          </w:p>
          <w:p>
            <w:pPr>
              <w:widowControl/>
              <w:spacing w:line="27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（7）行李包、车辆、集装箱等射线安全检查系统</w:t>
            </w:r>
          </w:p>
          <w:p>
            <w:pPr>
              <w:widowControl/>
              <w:spacing w:line="27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（8）</w:t>
            </w:r>
            <w:r>
              <w:rPr>
                <w:rFonts w:hint="eastAsia" w:ascii="仿宋_GB2312" w:hAnsi="仿宋_GB2312" w:cs="仿宋_GB2312"/>
                <w:sz w:val="21"/>
                <w:szCs w:val="21"/>
              </w:rPr>
              <w:t>伴生放射性矿</w:t>
            </w:r>
          </w:p>
          <w:p>
            <w:pPr>
              <w:widowControl/>
              <w:spacing w:line="27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（9）</w:t>
            </w:r>
            <w:r>
              <w:rPr>
                <w:rFonts w:hint="eastAsia" w:ascii="仿宋_GB2312" w:hAnsi="仿宋_GB2312" w:cs="仿宋_GB2312"/>
                <w:sz w:val="21"/>
                <w:szCs w:val="21"/>
              </w:rPr>
              <w:t>离子注入、静电消除、电子束焊接等</w:t>
            </w:r>
            <w:r>
              <w:rPr>
                <w:rFonts w:hint="eastAsia" w:ascii="仿宋_GB2312" w:hAnsi="仿宋_GB2312" w:cs="仿宋_GB2312"/>
                <w:kern w:val="0"/>
                <w:sz w:val="21"/>
                <w:szCs w:val="21"/>
                <w:lang w:bidi="ar"/>
              </w:rPr>
              <w:t>其它核技术工业应用</w:t>
            </w:r>
          </w:p>
        </w:tc>
      </w:tr>
    </w:tbl>
    <w:p>
      <w:pPr>
        <w:adjustRightInd w:val="0"/>
        <w:snapToGrid w:val="0"/>
        <w:spacing w:line="340" w:lineRule="exact"/>
        <w:jc w:val="left"/>
        <w:rPr>
          <w:rFonts w:hint="eastAsia" w:ascii="仿宋_GB2312" w:hAnsi="仿宋_GB2312" w:eastAsia="仿宋_GB2312" w:cs="仿宋_GB2312"/>
          <w:kern w:val="0"/>
          <w:sz w:val="21"/>
          <w:szCs w:val="21"/>
          <w:lang w:eastAsia="zh-CN"/>
        </w:rPr>
      </w:pPr>
      <w:r>
        <w:rPr>
          <w:rFonts w:hint="eastAsia" w:ascii="仿宋_GB2312" w:hAnsi="仿宋_GB2312" w:cs="仿宋_GB2312"/>
          <w:kern w:val="0"/>
          <w:sz w:val="21"/>
          <w:szCs w:val="21"/>
        </w:rPr>
        <w:t>注：1.取得相关资质、业务范围须满足仪器设备配备要求（附录3）和检测能力要求（附录4、5）</w:t>
      </w:r>
      <w:r>
        <w:rPr>
          <w:rFonts w:hint="eastAsia" w:ascii="仿宋_GB2312" w:hAnsi="仿宋_GB2312" w:cs="仿宋_GB2312"/>
          <w:kern w:val="0"/>
          <w:sz w:val="21"/>
          <w:szCs w:val="21"/>
          <w:lang w:eastAsia="zh-CN"/>
        </w:rPr>
        <w:t>。</w:t>
      </w:r>
    </w:p>
    <w:p>
      <w:pPr>
        <w:adjustRightInd w:val="0"/>
        <w:snapToGrid w:val="0"/>
        <w:spacing w:line="340" w:lineRule="exact"/>
        <w:ind w:firstLine="420" w:firstLineChars="200"/>
        <w:jc w:val="left"/>
        <w:rPr>
          <w:rFonts w:hint="eastAsia" w:ascii="仿宋_GB2312" w:hAnsi="仿宋_GB2312" w:eastAsia="仿宋_GB2312" w:cs="仿宋_GB2312"/>
          <w:sz w:val="21"/>
          <w:lang w:eastAsia="zh-CN"/>
        </w:rPr>
      </w:pPr>
      <w:r>
        <w:rPr>
          <w:rFonts w:hint="eastAsia" w:ascii="仿宋_GB2312" w:hAnsi="仿宋_GB2312" w:cs="仿宋_GB2312"/>
          <w:sz w:val="21"/>
          <w:lang w:bidi="ar"/>
        </w:rPr>
        <w:t>2.将</w:t>
      </w:r>
      <w:r>
        <w:rPr>
          <w:rFonts w:hint="eastAsia" w:ascii="仿宋_GB2312" w:hAnsi="仿宋_GB2312" w:cs="仿宋_GB2312"/>
          <w:sz w:val="21"/>
        </w:rPr>
        <w:t>50MeV以上中、高能加速器和大型辐照装置行业领域按照核设施管理</w:t>
      </w:r>
      <w:r>
        <w:rPr>
          <w:rFonts w:hint="eastAsia" w:ascii="仿宋_GB2312" w:hAnsi="仿宋_GB2312" w:cs="仿宋_GB2312"/>
          <w:sz w:val="21"/>
          <w:lang w:eastAsia="zh-CN"/>
        </w:rPr>
        <w:t>，</w:t>
      </w:r>
      <w:r>
        <w:rPr>
          <w:rFonts w:hint="eastAsia" w:ascii="仿宋_GB2312" w:hAnsi="仿宋_GB2312" w:cs="仿宋_GB2312"/>
          <w:sz w:val="21"/>
        </w:rPr>
        <w:t>将</w:t>
      </w:r>
      <w:r>
        <w:rPr>
          <w:rFonts w:hint="eastAsia" w:ascii="仿宋_GB2312" w:hAnsi="仿宋_GB2312" w:cs="仿宋_GB2312"/>
          <w:sz w:val="21"/>
          <w:szCs w:val="21"/>
        </w:rPr>
        <w:t>伴生放射性矿</w:t>
      </w:r>
      <w:r>
        <w:rPr>
          <w:rFonts w:hint="eastAsia" w:ascii="仿宋_GB2312" w:hAnsi="仿宋_GB2312" w:cs="仿宋_GB2312"/>
          <w:sz w:val="21"/>
        </w:rPr>
        <w:t>行业领域按照</w:t>
      </w:r>
      <w:r>
        <w:rPr>
          <w:rFonts w:hint="eastAsia" w:ascii="仿宋_GB2312" w:hAnsi="仿宋_GB2312" w:cs="仿宋_GB2312"/>
          <w:kern w:val="0"/>
          <w:sz w:val="21"/>
          <w:szCs w:val="21"/>
          <w:lang w:bidi="ar"/>
        </w:rPr>
        <w:t>核技术工业应用</w:t>
      </w:r>
      <w:r>
        <w:rPr>
          <w:rFonts w:hint="eastAsia" w:ascii="仿宋_GB2312" w:hAnsi="仿宋_GB2312" w:cs="仿宋_GB2312"/>
          <w:sz w:val="21"/>
        </w:rPr>
        <w:t>管理</w:t>
      </w:r>
      <w:r>
        <w:rPr>
          <w:rFonts w:hint="eastAsia" w:ascii="仿宋_GB2312" w:hAnsi="仿宋_GB2312" w:cs="仿宋_GB2312"/>
          <w:sz w:val="21"/>
          <w:lang w:eastAsia="zh-CN"/>
        </w:rPr>
        <w:t>。</w:t>
      </w:r>
    </w:p>
    <w:p>
      <w:pPr>
        <w:adjustRightInd w:val="0"/>
        <w:snapToGrid w:val="0"/>
        <w:spacing w:line="340" w:lineRule="exact"/>
        <w:ind w:firstLine="420" w:firstLineChars="200"/>
        <w:jc w:val="left"/>
        <w:rPr>
          <w:rFonts w:eastAsia="黑体"/>
          <w:b/>
          <w:bCs/>
          <w:szCs w:val="32"/>
          <w:shd w:val="clear" w:color="auto" w:fill="FFFFFF"/>
          <w:lang w:bidi="ar"/>
        </w:rPr>
      </w:pPr>
      <w:r>
        <w:rPr>
          <w:rFonts w:hint="eastAsia" w:ascii="仿宋_GB2312" w:hAnsi="仿宋_GB2312" w:cs="仿宋_GB2312"/>
          <w:sz w:val="21"/>
        </w:rPr>
        <w:t>3.</w:t>
      </w:r>
      <w:r>
        <w:rPr>
          <w:rFonts w:hint="eastAsia" w:ascii="仿宋_GB2312" w:hAnsi="仿宋_GB2312" w:cs="仿宋_GB2312"/>
          <w:sz w:val="21"/>
          <w:lang w:bidi="ar"/>
        </w:rPr>
        <w:t>具体业务行业领域按照《国民经济行业分类》（GB/T 4754—2017）执行。</w:t>
      </w:r>
      <w:r>
        <w:rPr>
          <w:rFonts w:hint="eastAsia" w:ascii="仿宋_GB2312" w:hAnsi="仿宋_GB2312" w:cs="仿宋_GB2312"/>
          <w:sz w:val="21"/>
          <w:lang w:bidi="ar"/>
        </w:rPr>
        <w:br w:type="page"/>
      </w:r>
      <w:r>
        <w:rPr>
          <w:rFonts w:hint="eastAsia" w:eastAsia="黑体"/>
          <w:szCs w:val="32"/>
          <w:shd w:val="clear" w:color="auto" w:fill="FFFFFF"/>
          <w:lang w:bidi="ar"/>
        </w:rPr>
        <w:t>附录2</w:t>
      </w:r>
    </w:p>
    <w:p>
      <w:pPr>
        <w:jc w:val="center"/>
        <w:rPr>
          <w:rFonts w:ascii="华文中宋" w:hAnsi="华文中宋" w:eastAsia="华文中宋"/>
          <w:b/>
          <w:sz w:val="36"/>
          <w:szCs w:val="36"/>
        </w:rPr>
      </w:pPr>
      <w:r>
        <w:rPr>
          <w:rFonts w:ascii="华文中宋" w:hAnsi="华文中宋" w:eastAsia="华文中宋"/>
          <w:b/>
          <w:sz w:val="36"/>
          <w:szCs w:val="36"/>
        </w:rPr>
        <w:t>职业卫生技术服务机构专业技术人员要求</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975"/>
        <w:gridCol w:w="804"/>
        <w:gridCol w:w="805"/>
        <w:gridCol w:w="2100"/>
        <w:gridCol w:w="2102"/>
        <w:gridCol w:w="2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1" w:hRule="atLeast"/>
          <w:jc w:val="center"/>
        </w:trPr>
        <w:tc>
          <w:tcPr>
            <w:tcW w:w="975" w:type="dxa"/>
            <w:vMerge w:val="restart"/>
            <w:noWrap w:val="0"/>
            <w:vAlign w:val="center"/>
          </w:tcPr>
          <w:p>
            <w:pPr>
              <w:widowControl/>
              <w:spacing w:line="260"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lang w:bidi="ar"/>
              </w:rPr>
              <w:t>类别</w:t>
            </w:r>
          </w:p>
        </w:tc>
        <w:tc>
          <w:tcPr>
            <w:tcW w:w="1609" w:type="dxa"/>
            <w:gridSpan w:val="2"/>
            <w:noWrap w:val="0"/>
            <w:vAlign w:val="center"/>
          </w:tcPr>
          <w:p>
            <w:pPr>
              <w:widowControl/>
              <w:spacing w:line="260" w:lineRule="exact"/>
              <w:jc w:val="center"/>
              <w:rPr>
                <w:rFonts w:hint="eastAsia" w:ascii="仿宋_GB2312" w:hAnsi="仿宋_GB2312" w:cs="仿宋_GB2312"/>
                <w:b/>
                <w:sz w:val="21"/>
                <w:szCs w:val="21"/>
              </w:rPr>
            </w:pPr>
            <w:r>
              <w:rPr>
                <w:rFonts w:hint="eastAsia" w:ascii="仿宋_GB2312" w:hAnsi="仿宋_GB2312" w:cs="仿宋_GB2312"/>
                <w:b/>
                <w:kern w:val="0"/>
                <w:sz w:val="21"/>
                <w:szCs w:val="21"/>
                <w:lang w:bidi="ar"/>
              </w:rPr>
              <w:t>数量要求</w:t>
            </w:r>
          </w:p>
        </w:tc>
        <w:tc>
          <w:tcPr>
            <w:tcW w:w="4202" w:type="dxa"/>
            <w:gridSpan w:val="2"/>
            <w:noWrap w:val="0"/>
            <w:vAlign w:val="center"/>
          </w:tcPr>
          <w:p>
            <w:pPr>
              <w:widowControl/>
              <w:spacing w:line="260" w:lineRule="exact"/>
              <w:jc w:val="center"/>
              <w:rPr>
                <w:rFonts w:hint="eastAsia" w:ascii="仿宋_GB2312" w:hAnsi="仿宋_GB2312" w:cs="仿宋_GB2312"/>
                <w:b/>
                <w:sz w:val="21"/>
                <w:szCs w:val="21"/>
              </w:rPr>
            </w:pPr>
            <w:r>
              <w:rPr>
                <w:rFonts w:hint="eastAsia" w:ascii="仿宋_GB2312" w:hAnsi="仿宋_GB2312" w:cs="仿宋_GB2312"/>
                <w:b/>
                <w:kern w:val="0"/>
                <w:sz w:val="21"/>
                <w:szCs w:val="21"/>
                <w:lang w:bidi="ar"/>
              </w:rPr>
              <w:t>人员条件要求</w:t>
            </w:r>
          </w:p>
        </w:tc>
        <w:tc>
          <w:tcPr>
            <w:tcW w:w="2384" w:type="dxa"/>
            <w:vMerge w:val="restart"/>
            <w:noWrap w:val="0"/>
            <w:vAlign w:val="center"/>
          </w:tcPr>
          <w:p>
            <w:pPr>
              <w:widowControl/>
              <w:spacing w:line="260"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975" w:type="dxa"/>
            <w:vMerge w:val="continue"/>
            <w:noWrap w:val="0"/>
            <w:vAlign w:val="center"/>
          </w:tcPr>
          <w:p>
            <w:pPr>
              <w:widowControl/>
              <w:spacing w:line="260" w:lineRule="exact"/>
              <w:jc w:val="center"/>
              <w:rPr>
                <w:rFonts w:hint="eastAsia" w:ascii="仿宋_GB2312" w:hAnsi="仿宋_GB2312" w:cs="仿宋_GB2312"/>
                <w:b/>
                <w:sz w:val="21"/>
                <w:szCs w:val="21"/>
              </w:rPr>
            </w:pPr>
          </w:p>
        </w:tc>
        <w:tc>
          <w:tcPr>
            <w:tcW w:w="804" w:type="dxa"/>
            <w:noWrap w:val="0"/>
            <w:vAlign w:val="center"/>
          </w:tcPr>
          <w:p>
            <w:pPr>
              <w:widowControl/>
              <w:spacing w:line="260"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lang w:bidi="ar"/>
              </w:rPr>
              <w:t>甲级</w:t>
            </w:r>
          </w:p>
        </w:tc>
        <w:tc>
          <w:tcPr>
            <w:tcW w:w="805" w:type="dxa"/>
            <w:noWrap w:val="0"/>
            <w:vAlign w:val="center"/>
          </w:tcPr>
          <w:p>
            <w:pPr>
              <w:widowControl/>
              <w:spacing w:line="260"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lang w:bidi="ar"/>
              </w:rPr>
              <w:t>乙级</w:t>
            </w:r>
          </w:p>
        </w:tc>
        <w:tc>
          <w:tcPr>
            <w:tcW w:w="2100" w:type="dxa"/>
            <w:noWrap w:val="0"/>
            <w:vAlign w:val="center"/>
          </w:tcPr>
          <w:p>
            <w:pPr>
              <w:widowControl/>
              <w:spacing w:line="260"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lang w:bidi="ar"/>
              </w:rPr>
              <w:t>甲级</w:t>
            </w:r>
          </w:p>
        </w:tc>
        <w:tc>
          <w:tcPr>
            <w:tcW w:w="2102" w:type="dxa"/>
            <w:noWrap w:val="0"/>
            <w:vAlign w:val="center"/>
          </w:tcPr>
          <w:p>
            <w:pPr>
              <w:widowControl/>
              <w:spacing w:line="260"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lang w:bidi="ar"/>
              </w:rPr>
              <w:t>乙级</w:t>
            </w:r>
          </w:p>
        </w:tc>
        <w:tc>
          <w:tcPr>
            <w:tcW w:w="2384" w:type="dxa"/>
            <w:vMerge w:val="continue"/>
            <w:noWrap w:val="0"/>
            <w:vAlign w:val="center"/>
          </w:tcPr>
          <w:p>
            <w:pPr>
              <w:widowControl/>
              <w:spacing w:line="260" w:lineRule="exact"/>
              <w:jc w:val="center"/>
              <w:rPr>
                <w:rFonts w:hint="eastAsia" w:ascii="仿宋_GB2312" w:hAnsi="仿宋_GB2312" w:cs="仿宋_GB2312"/>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3" w:hRule="atLeast"/>
          <w:jc w:val="center"/>
        </w:trPr>
        <w:tc>
          <w:tcPr>
            <w:tcW w:w="975" w:type="dxa"/>
            <w:noWrap w:val="0"/>
            <w:vAlign w:val="center"/>
          </w:tcPr>
          <w:p>
            <w:pPr>
              <w:widowControl/>
              <w:spacing w:line="26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技术负责人</w:t>
            </w:r>
          </w:p>
        </w:tc>
        <w:tc>
          <w:tcPr>
            <w:tcW w:w="804" w:type="dxa"/>
            <w:noWrap w:val="0"/>
            <w:vAlign w:val="center"/>
          </w:tcPr>
          <w:p>
            <w:pPr>
              <w:widowControl/>
              <w:spacing w:line="26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≥1</w:t>
            </w:r>
          </w:p>
        </w:tc>
        <w:tc>
          <w:tcPr>
            <w:tcW w:w="805" w:type="dxa"/>
            <w:noWrap w:val="0"/>
            <w:vAlign w:val="center"/>
          </w:tcPr>
          <w:p>
            <w:pPr>
              <w:widowControl/>
              <w:spacing w:line="26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≥1</w:t>
            </w:r>
          </w:p>
        </w:tc>
        <w:tc>
          <w:tcPr>
            <w:tcW w:w="2100" w:type="dxa"/>
            <w:noWrap w:val="0"/>
            <w:vAlign w:val="center"/>
          </w:tcPr>
          <w:p>
            <w:pPr>
              <w:widowControl/>
              <w:spacing w:line="26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具有高级专业技术职称和五年以上职业卫生（放射卫生）检测、评价相关工作经验的专职人员，年龄不得超过65周岁</w:t>
            </w:r>
            <w:bookmarkStart w:id="0" w:name="_GoBack"/>
            <w:bookmarkEnd w:id="0"/>
            <w:r>
              <w:rPr>
                <w:rFonts w:hint="eastAsia" w:ascii="仿宋_GB2312" w:hAnsi="仿宋_GB2312" w:cs="仿宋_GB2312"/>
                <w:kern w:val="0"/>
                <w:sz w:val="21"/>
                <w:szCs w:val="21"/>
                <w:lang w:bidi="ar"/>
              </w:rPr>
              <w:t>。</w:t>
            </w:r>
          </w:p>
        </w:tc>
        <w:tc>
          <w:tcPr>
            <w:tcW w:w="2102" w:type="dxa"/>
            <w:noWrap w:val="0"/>
            <w:vAlign w:val="center"/>
          </w:tcPr>
          <w:p>
            <w:pPr>
              <w:widowControl/>
              <w:spacing w:line="26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具有高级专业技术职称和三年以上职业卫生（或放射卫生）检测、评价相关工作经验，或者中级专业技术职称和八年以上职业卫生（或放射卫生）检测、评价相关工作经验的专职人员，年龄不得超过65周岁。</w:t>
            </w:r>
          </w:p>
        </w:tc>
        <w:tc>
          <w:tcPr>
            <w:tcW w:w="2384" w:type="dxa"/>
            <w:noWrap w:val="0"/>
            <w:vAlign w:val="center"/>
          </w:tcPr>
          <w:p>
            <w:pPr>
              <w:widowControl/>
              <w:spacing w:line="280" w:lineRule="exact"/>
              <w:jc w:val="left"/>
              <w:rPr>
                <w:rFonts w:hint="eastAsia" w:ascii="仿宋_GB2312" w:hAnsi="仿宋_GB2312" w:cs="仿宋_GB2312"/>
                <w:sz w:val="21"/>
                <w:szCs w:val="21"/>
              </w:rPr>
            </w:pPr>
            <w:r>
              <w:rPr>
                <w:rFonts w:hint="eastAsia" w:ascii="仿宋_GB2312" w:hAnsi="仿宋_GB2312" w:cs="仿宋_GB2312"/>
                <w:kern w:val="0"/>
                <w:sz w:val="21"/>
                <w:szCs w:val="21"/>
                <w:lang w:bidi="ar"/>
              </w:rPr>
              <w:t>第一类业务范围设置职业卫生检测技术负责人、职业卫生评价技术负责人。第二类业务范围设置放射卫生技术负责人。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89" w:hRule="atLeast"/>
          <w:jc w:val="center"/>
        </w:trPr>
        <w:tc>
          <w:tcPr>
            <w:tcW w:w="975" w:type="dxa"/>
            <w:noWrap w:val="0"/>
            <w:vAlign w:val="center"/>
          </w:tcPr>
          <w:p>
            <w:pPr>
              <w:widowControl/>
              <w:spacing w:line="26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质量控制负责人</w:t>
            </w:r>
          </w:p>
        </w:tc>
        <w:tc>
          <w:tcPr>
            <w:tcW w:w="804" w:type="dxa"/>
            <w:noWrap w:val="0"/>
            <w:vAlign w:val="center"/>
          </w:tcPr>
          <w:p>
            <w:pPr>
              <w:widowControl/>
              <w:spacing w:line="26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≥1</w:t>
            </w:r>
          </w:p>
        </w:tc>
        <w:tc>
          <w:tcPr>
            <w:tcW w:w="805" w:type="dxa"/>
            <w:noWrap w:val="0"/>
            <w:vAlign w:val="center"/>
          </w:tcPr>
          <w:p>
            <w:pPr>
              <w:widowControl/>
              <w:spacing w:line="26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≥1</w:t>
            </w:r>
          </w:p>
        </w:tc>
        <w:tc>
          <w:tcPr>
            <w:tcW w:w="4202" w:type="dxa"/>
            <w:gridSpan w:val="2"/>
            <w:noWrap w:val="0"/>
            <w:vAlign w:val="center"/>
          </w:tcPr>
          <w:p>
            <w:pPr>
              <w:widowControl/>
              <w:spacing w:line="26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具有高级专业技术职称和三年以上质量管理相关工作经验，或者中级专业技术职称和五年以上质量管理相关工作经验，具有建立、维护和保证质量管理体系有效运行的能力和权力的专职人员。</w:t>
            </w:r>
          </w:p>
        </w:tc>
        <w:tc>
          <w:tcPr>
            <w:tcW w:w="2384" w:type="dxa"/>
            <w:noWrap w:val="0"/>
            <w:vAlign w:val="center"/>
          </w:tcPr>
          <w:p>
            <w:pPr>
              <w:widowControl/>
              <w:spacing w:line="260"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01" w:hRule="atLeast"/>
          <w:jc w:val="center"/>
        </w:trPr>
        <w:tc>
          <w:tcPr>
            <w:tcW w:w="975" w:type="dxa"/>
            <w:noWrap w:val="0"/>
            <w:vAlign w:val="center"/>
          </w:tcPr>
          <w:p>
            <w:pPr>
              <w:widowControl/>
              <w:spacing w:line="26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专业技术人员总数</w:t>
            </w:r>
          </w:p>
        </w:tc>
        <w:tc>
          <w:tcPr>
            <w:tcW w:w="804" w:type="dxa"/>
            <w:noWrap w:val="0"/>
            <w:vAlign w:val="center"/>
          </w:tcPr>
          <w:p>
            <w:pPr>
              <w:widowControl/>
              <w:spacing w:line="260" w:lineRule="exact"/>
              <w:jc w:val="center"/>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≥30</w:t>
            </w:r>
          </w:p>
        </w:tc>
        <w:tc>
          <w:tcPr>
            <w:tcW w:w="805" w:type="dxa"/>
            <w:noWrap w:val="0"/>
            <w:vAlign w:val="center"/>
          </w:tcPr>
          <w:p>
            <w:pPr>
              <w:widowControl/>
              <w:spacing w:line="260" w:lineRule="exact"/>
              <w:jc w:val="center"/>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≥15</w:t>
            </w:r>
          </w:p>
        </w:tc>
        <w:tc>
          <w:tcPr>
            <w:tcW w:w="2100" w:type="dxa"/>
            <w:noWrap w:val="0"/>
            <w:vAlign w:val="center"/>
          </w:tcPr>
          <w:p>
            <w:pPr>
              <w:widowControl/>
              <w:spacing w:line="26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高级专业技术职称或同等能力专业技术人员不少于</w:t>
            </w:r>
            <w:r>
              <w:rPr>
                <w:rFonts w:hint="eastAsia" w:ascii="仿宋_GB2312" w:hAnsi="仿宋_GB2312" w:cs="仿宋_GB2312"/>
                <w:kern w:val="0"/>
                <w:sz w:val="21"/>
                <w:szCs w:val="21"/>
                <w:lang w:val="en-US" w:eastAsia="zh-CN" w:bidi="ar"/>
              </w:rPr>
              <w:t>五</w:t>
            </w:r>
            <w:r>
              <w:rPr>
                <w:rFonts w:hint="eastAsia" w:ascii="仿宋_GB2312" w:hAnsi="仿宋_GB2312" w:cs="仿宋_GB2312"/>
                <w:kern w:val="0"/>
                <w:sz w:val="21"/>
                <w:szCs w:val="21"/>
                <w:lang w:bidi="ar"/>
              </w:rPr>
              <w:t>名；中级及以上技术职称或同等能力专业技术人员不少于专业技术人员总数的40%。</w:t>
            </w:r>
          </w:p>
        </w:tc>
        <w:tc>
          <w:tcPr>
            <w:tcW w:w="2102" w:type="dxa"/>
            <w:noWrap w:val="0"/>
            <w:vAlign w:val="center"/>
          </w:tcPr>
          <w:p>
            <w:pPr>
              <w:widowControl/>
              <w:spacing w:line="26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高级专业技术职称或同等能力专业技术人员不少于三名；中级及以上技术职称或同等能力专业技术人员不少于专业技术人员总数的30%。</w:t>
            </w:r>
          </w:p>
        </w:tc>
        <w:tc>
          <w:tcPr>
            <w:tcW w:w="2384" w:type="dxa"/>
            <w:noWrap w:val="0"/>
            <w:vAlign w:val="center"/>
          </w:tcPr>
          <w:p>
            <w:pPr>
              <w:widowControl/>
              <w:spacing w:line="260"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95" w:hRule="atLeast"/>
          <w:jc w:val="center"/>
        </w:trPr>
        <w:tc>
          <w:tcPr>
            <w:tcW w:w="975" w:type="dxa"/>
            <w:noWrap w:val="0"/>
            <w:vAlign w:val="center"/>
          </w:tcPr>
          <w:p>
            <w:pPr>
              <w:widowControl/>
              <w:spacing w:line="26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职业卫生检测专业技术人员</w:t>
            </w:r>
          </w:p>
        </w:tc>
        <w:tc>
          <w:tcPr>
            <w:tcW w:w="804" w:type="dxa"/>
            <w:noWrap w:val="0"/>
            <w:vAlign w:val="center"/>
          </w:tcPr>
          <w:p>
            <w:pPr>
              <w:widowControl/>
              <w:spacing w:line="26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≥10</w:t>
            </w:r>
          </w:p>
        </w:tc>
        <w:tc>
          <w:tcPr>
            <w:tcW w:w="805" w:type="dxa"/>
            <w:noWrap w:val="0"/>
            <w:vAlign w:val="center"/>
          </w:tcPr>
          <w:p>
            <w:pPr>
              <w:widowControl/>
              <w:spacing w:line="26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≥5</w:t>
            </w:r>
          </w:p>
        </w:tc>
        <w:tc>
          <w:tcPr>
            <w:tcW w:w="2100" w:type="dxa"/>
            <w:noWrap w:val="0"/>
            <w:vAlign w:val="center"/>
          </w:tcPr>
          <w:p>
            <w:pPr>
              <w:widowControl/>
              <w:spacing w:line="260" w:lineRule="exact"/>
              <w:jc w:val="left"/>
              <w:textAlignment w:val="center"/>
              <w:rPr>
                <w:rFonts w:hint="eastAsia" w:ascii="仿宋_GB2312" w:hAnsi="仿宋_GB2312" w:cs="仿宋_GB2312"/>
                <w:sz w:val="21"/>
                <w:szCs w:val="21"/>
              </w:rPr>
            </w:pPr>
          </w:p>
        </w:tc>
        <w:tc>
          <w:tcPr>
            <w:tcW w:w="2102" w:type="dxa"/>
            <w:noWrap w:val="0"/>
            <w:vAlign w:val="center"/>
          </w:tcPr>
          <w:p>
            <w:pPr>
              <w:widowControl/>
              <w:spacing w:line="260" w:lineRule="exact"/>
              <w:jc w:val="left"/>
              <w:textAlignment w:val="center"/>
              <w:rPr>
                <w:rFonts w:hint="eastAsia" w:ascii="仿宋_GB2312" w:hAnsi="仿宋_GB2312" w:cs="仿宋_GB2312"/>
                <w:kern w:val="0"/>
                <w:sz w:val="21"/>
                <w:szCs w:val="21"/>
                <w:lang w:bidi="ar"/>
              </w:rPr>
            </w:pPr>
          </w:p>
        </w:tc>
        <w:tc>
          <w:tcPr>
            <w:tcW w:w="2384" w:type="dxa"/>
            <w:noWrap w:val="0"/>
            <w:vAlign w:val="center"/>
          </w:tcPr>
          <w:p>
            <w:pPr>
              <w:widowControl/>
              <w:spacing w:line="26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第一类业务范围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95" w:hRule="atLeast"/>
          <w:jc w:val="center"/>
        </w:trPr>
        <w:tc>
          <w:tcPr>
            <w:tcW w:w="975" w:type="dxa"/>
            <w:noWrap w:val="0"/>
            <w:vAlign w:val="center"/>
          </w:tcPr>
          <w:p>
            <w:pPr>
              <w:widowControl/>
              <w:spacing w:line="26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职业卫生评价专业技术人员</w:t>
            </w:r>
          </w:p>
        </w:tc>
        <w:tc>
          <w:tcPr>
            <w:tcW w:w="804" w:type="dxa"/>
            <w:noWrap w:val="0"/>
            <w:vAlign w:val="center"/>
          </w:tcPr>
          <w:p>
            <w:pPr>
              <w:widowControl/>
              <w:spacing w:line="26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≥10</w:t>
            </w:r>
          </w:p>
        </w:tc>
        <w:tc>
          <w:tcPr>
            <w:tcW w:w="805" w:type="dxa"/>
            <w:noWrap w:val="0"/>
            <w:vAlign w:val="center"/>
          </w:tcPr>
          <w:p>
            <w:pPr>
              <w:widowControl/>
              <w:spacing w:line="26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≥5</w:t>
            </w:r>
          </w:p>
        </w:tc>
        <w:tc>
          <w:tcPr>
            <w:tcW w:w="2100" w:type="dxa"/>
            <w:noWrap w:val="0"/>
            <w:vAlign w:val="center"/>
          </w:tcPr>
          <w:p>
            <w:pPr>
              <w:widowControl/>
              <w:spacing w:line="260" w:lineRule="exact"/>
              <w:jc w:val="left"/>
              <w:textAlignment w:val="center"/>
              <w:rPr>
                <w:rFonts w:hint="eastAsia" w:ascii="仿宋_GB2312" w:hAnsi="仿宋_GB2312" w:cs="仿宋_GB2312"/>
                <w:sz w:val="21"/>
                <w:szCs w:val="21"/>
              </w:rPr>
            </w:pPr>
          </w:p>
        </w:tc>
        <w:tc>
          <w:tcPr>
            <w:tcW w:w="2102" w:type="dxa"/>
            <w:noWrap w:val="0"/>
            <w:vAlign w:val="center"/>
          </w:tcPr>
          <w:p>
            <w:pPr>
              <w:widowControl/>
              <w:spacing w:line="260" w:lineRule="exact"/>
              <w:jc w:val="left"/>
              <w:textAlignment w:val="center"/>
              <w:rPr>
                <w:rFonts w:hint="eastAsia" w:ascii="仿宋_GB2312" w:hAnsi="仿宋_GB2312" w:cs="仿宋_GB2312"/>
                <w:kern w:val="0"/>
                <w:sz w:val="21"/>
                <w:szCs w:val="21"/>
                <w:lang w:bidi="ar"/>
              </w:rPr>
            </w:pPr>
          </w:p>
        </w:tc>
        <w:tc>
          <w:tcPr>
            <w:tcW w:w="2384" w:type="dxa"/>
            <w:noWrap w:val="0"/>
            <w:vAlign w:val="center"/>
          </w:tcPr>
          <w:p>
            <w:pPr>
              <w:widowControl/>
              <w:spacing w:line="26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第一类业务范围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95" w:hRule="atLeast"/>
          <w:jc w:val="center"/>
        </w:trPr>
        <w:tc>
          <w:tcPr>
            <w:tcW w:w="975" w:type="dxa"/>
            <w:noWrap w:val="0"/>
            <w:vAlign w:val="center"/>
          </w:tcPr>
          <w:p>
            <w:pPr>
              <w:widowControl/>
              <w:spacing w:line="260" w:lineRule="exact"/>
              <w:jc w:val="center"/>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放射卫生检测、评价人员</w:t>
            </w:r>
          </w:p>
        </w:tc>
        <w:tc>
          <w:tcPr>
            <w:tcW w:w="804" w:type="dxa"/>
            <w:noWrap w:val="0"/>
            <w:vAlign w:val="center"/>
          </w:tcPr>
          <w:p>
            <w:pPr>
              <w:widowControl/>
              <w:spacing w:line="260" w:lineRule="exact"/>
              <w:jc w:val="center"/>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≥10</w:t>
            </w:r>
          </w:p>
        </w:tc>
        <w:tc>
          <w:tcPr>
            <w:tcW w:w="805" w:type="dxa"/>
            <w:noWrap w:val="0"/>
            <w:vAlign w:val="center"/>
          </w:tcPr>
          <w:p>
            <w:pPr>
              <w:widowControl/>
              <w:spacing w:line="260" w:lineRule="exact"/>
              <w:jc w:val="center"/>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≥5</w:t>
            </w:r>
          </w:p>
        </w:tc>
        <w:tc>
          <w:tcPr>
            <w:tcW w:w="2100" w:type="dxa"/>
            <w:noWrap w:val="0"/>
            <w:vAlign w:val="center"/>
          </w:tcPr>
          <w:p>
            <w:pPr>
              <w:widowControl/>
              <w:spacing w:line="26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高级专业技术职称或同等能力专业技术人员不少于三名。</w:t>
            </w:r>
          </w:p>
        </w:tc>
        <w:tc>
          <w:tcPr>
            <w:tcW w:w="2102" w:type="dxa"/>
            <w:noWrap w:val="0"/>
            <w:vAlign w:val="center"/>
          </w:tcPr>
          <w:p>
            <w:pPr>
              <w:widowControl/>
              <w:spacing w:line="26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高级专业技术职称或同等能力专业技术人员不少于一名。</w:t>
            </w:r>
          </w:p>
        </w:tc>
        <w:tc>
          <w:tcPr>
            <w:tcW w:w="2384" w:type="dxa"/>
            <w:noWrap w:val="0"/>
            <w:vAlign w:val="center"/>
          </w:tcPr>
          <w:p>
            <w:pPr>
              <w:widowControl/>
              <w:spacing w:line="26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第二类业务范围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5" w:hRule="atLeast"/>
          <w:jc w:val="center"/>
        </w:trPr>
        <w:tc>
          <w:tcPr>
            <w:tcW w:w="975" w:type="dxa"/>
            <w:noWrap w:val="0"/>
            <w:vAlign w:val="center"/>
          </w:tcPr>
          <w:p>
            <w:pPr>
              <w:widowControl/>
              <w:spacing w:line="26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职业卫生工程技术人员</w:t>
            </w:r>
          </w:p>
        </w:tc>
        <w:tc>
          <w:tcPr>
            <w:tcW w:w="804" w:type="dxa"/>
            <w:noWrap w:val="0"/>
            <w:vAlign w:val="center"/>
          </w:tcPr>
          <w:p>
            <w:pPr>
              <w:widowControl/>
              <w:spacing w:line="26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≥3</w:t>
            </w:r>
          </w:p>
        </w:tc>
        <w:tc>
          <w:tcPr>
            <w:tcW w:w="805" w:type="dxa"/>
            <w:noWrap w:val="0"/>
            <w:vAlign w:val="center"/>
          </w:tcPr>
          <w:p>
            <w:pPr>
              <w:widowControl/>
              <w:spacing w:line="26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≥1</w:t>
            </w:r>
          </w:p>
        </w:tc>
        <w:tc>
          <w:tcPr>
            <w:tcW w:w="2100" w:type="dxa"/>
            <w:noWrap w:val="0"/>
            <w:vAlign w:val="center"/>
          </w:tcPr>
          <w:p>
            <w:pPr>
              <w:widowControl/>
              <w:spacing w:line="26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高级专业技术职称或同等能力专业技术人员不少于一名。</w:t>
            </w:r>
          </w:p>
        </w:tc>
        <w:tc>
          <w:tcPr>
            <w:tcW w:w="2102" w:type="dxa"/>
            <w:noWrap w:val="0"/>
            <w:vAlign w:val="center"/>
          </w:tcPr>
          <w:p>
            <w:pPr>
              <w:widowControl/>
              <w:spacing w:line="260" w:lineRule="exact"/>
              <w:jc w:val="left"/>
              <w:textAlignment w:val="center"/>
              <w:rPr>
                <w:rFonts w:hint="eastAsia" w:ascii="仿宋_GB2312" w:hAnsi="仿宋_GB2312" w:cs="仿宋_GB2312"/>
                <w:kern w:val="0"/>
                <w:sz w:val="21"/>
                <w:szCs w:val="21"/>
                <w:lang w:bidi="ar"/>
              </w:rPr>
            </w:pPr>
          </w:p>
        </w:tc>
        <w:tc>
          <w:tcPr>
            <w:tcW w:w="2384" w:type="dxa"/>
            <w:noWrap w:val="0"/>
            <w:vAlign w:val="center"/>
          </w:tcPr>
          <w:p>
            <w:pPr>
              <w:widowControl/>
              <w:spacing w:line="26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第一类业务范围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1" w:hRule="atLeast"/>
          <w:jc w:val="center"/>
        </w:trPr>
        <w:tc>
          <w:tcPr>
            <w:tcW w:w="975" w:type="dxa"/>
            <w:noWrap w:val="0"/>
            <w:vAlign w:val="center"/>
          </w:tcPr>
          <w:p>
            <w:pPr>
              <w:widowControl/>
              <w:spacing w:line="26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公共卫生专业人员</w:t>
            </w:r>
          </w:p>
        </w:tc>
        <w:tc>
          <w:tcPr>
            <w:tcW w:w="804" w:type="dxa"/>
            <w:noWrap w:val="0"/>
            <w:vAlign w:val="center"/>
          </w:tcPr>
          <w:p>
            <w:pPr>
              <w:widowControl/>
              <w:spacing w:line="26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≥3</w:t>
            </w:r>
          </w:p>
        </w:tc>
        <w:tc>
          <w:tcPr>
            <w:tcW w:w="805" w:type="dxa"/>
            <w:noWrap w:val="0"/>
            <w:vAlign w:val="center"/>
          </w:tcPr>
          <w:p>
            <w:pPr>
              <w:widowControl/>
              <w:spacing w:line="26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≥2</w:t>
            </w:r>
          </w:p>
        </w:tc>
        <w:tc>
          <w:tcPr>
            <w:tcW w:w="2100" w:type="dxa"/>
            <w:noWrap w:val="0"/>
            <w:vAlign w:val="center"/>
          </w:tcPr>
          <w:p>
            <w:pPr>
              <w:widowControl/>
              <w:spacing w:line="26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高级专业技术职称或同等能力专业技术人员不少于一名。</w:t>
            </w:r>
          </w:p>
        </w:tc>
        <w:tc>
          <w:tcPr>
            <w:tcW w:w="2102" w:type="dxa"/>
            <w:noWrap w:val="0"/>
            <w:vAlign w:val="center"/>
          </w:tcPr>
          <w:p>
            <w:pPr>
              <w:widowControl/>
              <w:spacing w:line="26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中级及以上专业技术职称或同等能力专业技术人员不少于一名。</w:t>
            </w:r>
          </w:p>
        </w:tc>
        <w:tc>
          <w:tcPr>
            <w:tcW w:w="2384" w:type="dxa"/>
            <w:noWrap w:val="0"/>
            <w:vAlign w:val="center"/>
          </w:tcPr>
          <w:p>
            <w:pPr>
              <w:widowControl/>
              <w:spacing w:line="260" w:lineRule="exact"/>
              <w:jc w:val="left"/>
              <w:textAlignment w:val="center"/>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5" w:hRule="atLeast"/>
          <w:jc w:val="center"/>
        </w:trPr>
        <w:tc>
          <w:tcPr>
            <w:tcW w:w="975" w:type="dxa"/>
            <w:noWrap w:val="0"/>
            <w:vAlign w:val="center"/>
          </w:tcPr>
          <w:p>
            <w:pPr>
              <w:widowControl/>
              <w:spacing w:line="260" w:lineRule="exact"/>
              <w:jc w:val="center"/>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行业工程技术人员</w:t>
            </w:r>
          </w:p>
        </w:tc>
        <w:tc>
          <w:tcPr>
            <w:tcW w:w="804" w:type="dxa"/>
            <w:noWrap w:val="0"/>
            <w:vAlign w:val="center"/>
          </w:tcPr>
          <w:p>
            <w:pPr>
              <w:widowControl/>
              <w:spacing w:line="28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rPr>
              <w:t>一个“</w:t>
            </w:r>
            <w:r>
              <w:rPr>
                <w:rFonts w:hint="eastAsia" w:ascii="仿宋_GB2312" w:hAnsi="仿宋_GB2312" w:cs="仿宋_GB2312"/>
                <w:kern w:val="0"/>
                <w:sz w:val="21"/>
                <w:szCs w:val="21"/>
              </w:rPr>
              <w:sym w:font="Wingdings" w:char="006C"/>
            </w:r>
            <w:r>
              <w:rPr>
                <w:rFonts w:hint="eastAsia" w:ascii="仿宋_GB2312" w:hAnsi="仿宋_GB2312" w:cs="仿宋_GB2312"/>
                <w:kern w:val="0"/>
                <w:sz w:val="21"/>
                <w:szCs w:val="21"/>
              </w:rPr>
              <w:t>”应至少配备一名行业工程技术人员；一个“</w:t>
            </w:r>
            <w:r>
              <w:rPr>
                <w:rFonts w:hint="eastAsia" w:ascii="仿宋_GB2312" w:hAnsi="仿宋_GB2312" w:cs="仿宋_GB2312"/>
                <w:kern w:val="0"/>
                <w:sz w:val="21"/>
                <w:szCs w:val="21"/>
              </w:rPr>
              <w:sym w:font="Wingdings" w:char="0075"/>
            </w:r>
            <w:r>
              <w:rPr>
                <w:rFonts w:hint="eastAsia" w:ascii="仿宋_GB2312" w:hAnsi="仿宋_GB2312" w:cs="仿宋_GB2312"/>
                <w:kern w:val="0"/>
                <w:sz w:val="21"/>
                <w:szCs w:val="21"/>
              </w:rPr>
              <w:t>”应至少配备两名行业工程技术人员。</w:t>
            </w:r>
          </w:p>
        </w:tc>
        <w:tc>
          <w:tcPr>
            <w:tcW w:w="805" w:type="dxa"/>
            <w:noWrap w:val="0"/>
            <w:vAlign w:val="center"/>
          </w:tcPr>
          <w:p>
            <w:pPr>
              <w:widowControl/>
              <w:spacing w:line="28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rPr>
              <w:t>一个“</w:t>
            </w:r>
            <w:r>
              <w:rPr>
                <w:rFonts w:hint="eastAsia" w:ascii="仿宋_GB2312" w:hAnsi="仿宋_GB2312" w:cs="仿宋_GB2312"/>
                <w:kern w:val="0"/>
                <w:sz w:val="21"/>
                <w:szCs w:val="21"/>
              </w:rPr>
              <w:sym w:font="Wingdings" w:char="006C"/>
            </w:r>
            <w:r>
              <w:rPr>
                <w:rFonts w:hint="eastAsia" w:ascii="仿宋_GB2312" w:hAnsi="仿宋_GB2312" w:cs="仿宋_GB2312"/>
                <w:kern w:val="0"/>
                <w:sz w:val="21"/>
                <w:szCs w:val="21"/>
              </w:rPr>
              <w:t>”或“</w:t>
            </w:r>
            <w:r>
              <w:rPr>
                <w:rFonts w:hint="eastAsia" w:ascii="仿宋_GB2312" w:hAnsi="仿宋_GB2312" w:cs="仿宋_GB2312"/>
                <w:kern w:val="0"/>
                <w:sz w:val="21"/>
                <w:szCs w:val="21"/>
              </w:rPr>
              <w:sym w:font="Wingdings" w:char="0075"/>
            </w:r>
            <w:r>
              <w:rPr>
                <w:rFonts w:hint="eastAsia" w:ascii="仿宋_GB2312" w:hAnsi="仿宋_GB2312" w:cs="仿宋_GB2312"/>
                <w:kern w:val="0"/>
                <w:sz w:val="21"/>
                <w:szCs w:val="21"/>
              </w:rPr>
              <w:t>”应至少配备一名行业工程技术人员。</w:t>
            </w:r>
          </w:p>
        </w:tc>
        <w:tc>
          <w:tcPr>
            <w:tcW w:w="4202" w:type="dxa"/>
            <w:gridSpan w:val="2"/>
            <w:noWrap w:val="0"/>
            <w:vAlign w:val="center"/>
          </w:tcPr>
          <w:p>
            <w:pPr>
              <w:spacing w:line="280" w:lineRule="exact"/>
              <w:rPr>
                <w:rFonts w:hint="eastAsia" w:ascii="仿宋_GB2312" w:hAnsi="仿宋_GB2312" w:cs="仿宋_GB2312"/>
                <w:sz w:val="21"/>
                <w:szCs w:val="21"/>
              </w:rPr>
            </w:pPr>
            <w:r>
              <w:rPr>
                <w:rFonts w:hint="eastAsia" w:ascii="仿宋_GB2312" w:hAnsi="仿宋_GB2312" w:cs="仿宋_GB2312"/>
                <w:sz w:val="21"/>
                <w:szCs w:val="21"/>
              </w:rPr>
              <w:t>每项业务范围应配备本科及以上学历行业工程技术人员，专业要求：</w:t>
            </w:r>
          </w:p>
          <w:p>
            <w:pPr>
              <w:spacing w:line="280" w:lineRule="exact"/>
              <w:rPr>
                <w:rFonts w:hint="eastAsia" w:ascii="仿宋_GB2312" w:hAnsi="仿宋_GB2312" w:cs="仿宋_GB2312"/>
                <w:sz w:val="21"/>
                <w:szCs w:val="21"/>
              </w:rPr>
            </w:pPr>
            <w:r>
              <w:rPr>
                <w:rFonts w:hint="eastAsia" w:ascii="仿宋_GB2312" w:hAnsi="仿宋_GB2312" w:cs="仿宋_GB2312"/>
                <w:kern w:val="0"/>
                <w:sz w:val="21"/>
                <w:szCs w:val="21"/>
                <w:lang w:bidi="ar"/>
              </w:rPr>
              <w:t>1.采矿业：</w:t>
            </w:r>
            <w:r>
              <w:rPr>
                <w:rFonts w:hint="eastAsia" w:ascii="仿宋_GB2312" w:hAnsi="仿宋_GB2312" w:cs="仿宋_GB2312"/>
                <w:sz w:val="21"/>
                <w:szCs w:val="21"/>
              </w:rPr>
              <w:sym w:font="Wingdings" w:char="006C"/>
            </w:r>
            <w:r>
              <w:rPr>
                <w:rFonts w:hint="eastAsia" w:ascii="仿宋_GB2312" w:hAnsi="仿宋_GB2312" w:cs="仿宋_GB2312"/>
                <w:sz w:val="21"/>
                <w:szCs w:val="21"/>
              </w:rPr>
              <w:t>矿业类专业；</w:t>
            </w:r>
          </w:p>
          <w:p>
            <w:pPr>
              <w:spacing w:line="280" w:lineRule="exact"/>
              <w:rPr>
                <w:rFonts w:hint="eastAsia" w:ascii="仿宋_GB2312" w:hAnsi="仿宋_GB2312" w:cs="仿宋_GB2312"/>
                <w:sz w:val="21"/>
                <w:szCs w:val="21"/>
              </w:rPr>
            </w:pPr>
            <w:r>
              <w:rPr>
                <w:rFonts w:hint="eastAsia" w:ascii="仿宋_GB2312" w:hAnsi="仿宋_GB2312" w:cs="仿宋_GB2312"/>
                <w:sz w:val="21"/>
                <w:szCs w:val="21"/>
              </w:rPr>
              <w:t>2.化工、石化及医药：</w:t>
            </w:r>
            <w:r>
              <w:rPr>
                <w:rFonts w:hint="eastAsia" w:ascii="仿宋_GB2312" w:hAnsi="仿宋_GB2312" w:cs="仿宋_GB2312"/>
                <w:sz w:val="21"/>
                <w:szCs w:val="21"/>
              </w:rPr>
              <w:sym w:font="Wingdings" w:char="006C"/>
            </w:r>
            <w:r>
              <w:rPr>
                <w:rFonts w:hint="eastAsia" w:ascii="仿宋_GB2312" w:hAnsi="仿宋_GB2312" w:cs="仿宋_GB2312"/>
                <w:sz w:val="21"/>
                <w:szCs w:val="21"/>
              </w:rPr>
              <w:t>化工与制药类专业；</w:t>
            </w:r>
          </w:p>
          <w:p>
            <w:pPr>
              <w:spacing w:line="280" w:lineRule="exact"/>
              <w:rPr>
                <w:rFonts w:hint="eastAsia" w:ascii="仿宋_GB2312" w:hAnsi="仿宋_GB2312" w:cs="仿宋_GB2312"/>
                <w:sz w:val="21"/>
                <w:szCs w:val="21"/>
              </w:rPr>
            </w:pPr>
            <w:r>
              <w:rPr>
                <w:rFonts w:hint="eastAsia" w:ascii="仿宋_GB2312" w:hAnsi="仿宋_GB2312" w:cs="仿宋_GB2312"/>
                <w:sz w:val="21"/>
                <w:szCs w:val="21"/>
              </w:rPr>
              <w:t>3.冶金、建材：</w:t>
            </w:r>
            <w:r>
              <w:rPr>
                <w:rFonts w:hint="eastAsia" w:ascii="仿宋_GB2312" w:hAnsi="仿宋_GB2312" w:cs="仿宋_GB2312"/>
                <w:sz w:val="21"/>
                <w:szCs w:val="21"/>
              </w:rPr>
              <w:sym w:font="Wingdings" w:char="006C"/>
            </w:r>
            <w:r>
              <w:rPr>
                <w:rFonts w:hint="eastAsia" w:ascii="仿宋_GB2312" w:hAnsi="仿宋_GB2312" w:cs="仿宋_GB2312"/>
                <w:sz w:val="21"/>
                <w:szCs w:val="21"/>
              </w:rPr>
              <w:t>材料类专业；</w:t>
            </w:r>
          </w:p>
          <w:p>
            <w:pPr>
              <w:spacing w:line="280" w:lineRule="exact"/>
              <w:rPr>
                <w:rFonts w:hint="eastAsia" w:ascii="仿宋_GB2312" w:hAnsi="仿宋_GB2312" w:cs="仿宋_GB2312"/>
                <w:sz w:val="21"/>
                <w:szCs w:val="21"/>
              </w:rPr>
            </w:pPr>
            <w:r>
              <w:rPr>
                <w:rFonts w:hint="eastAsia" w:ascii="仿宋_GB2312" w:hAnsi="仿宋_GB2312" w:cs="仿宋_GB2312"/>
                <w:sz w:val="21"/>
                <w:szCs w:val="21"/>
              </w:rPr>
              <w:t>4.机械设备制造、电力、建筑和交通运输等行业：</w:t>
            </w:r>
            <w:r>
              <w:rPr>
                <w:rFonts w:hint="eastAsia" w:ascii="仿宋_GB2312" w:hAnsi="仿宋_GB2312" w:cs="仿宋_GB2312"/>
                <w:sz w:val="21"/>
                <w:szCs w:val="21"/>
              </w:rPr>
              <w:sym w:font="Wingdings" w:char="0075"/>
            </w:r>
            <w:r>
              <w:rPr>
                <w:rFonts w:hint="eastAsia" w:ascii="仿宋_GB2312" w:hAnsi="仿宋_GB2312" w:cs="仿宋_GB2312"/>
                <w:sz w:val="21"/>
                <w:szCs w:val="21"/>
              </w:rPr>
              <w:t>机械类、仪器类、建筑类、能源动力类、电气类、电子信息类、自动化类、土木类、水利类、地质类、纺织类、轻工类、交通运输类、海洋工程类、航空航天类、兵器类、农业工程类、林业工程类、环境科学与工程类、食品科学与工程类、安全科学与工程类等专业；</w:t>
            </w:r>
          </w:p>
          <w:p>
            <w:pPr>
              <w:spacing w:line="280" w:lineRule="exact"/>
              <w:rPr>
                <w:rFonts w:hint="eastAsia" w:ascii="仿宋_GB2312" w:hAnsi="仿宋_GB2312" w:cs="仿宋_GB2312"/>
                <w:sz w:val="21"/>
                <w:szCs w:val="21"/>
              </w:rPr>
            </w:pPr>
            <w:r>
              <w:rPr>
                <w:rFonts w:hint="eastAsia" w:ascii="仿宋_GB2312" w:hAnsi="仿宋_GB2312" w:cs="仿宋_GB2312"/>
                <w:sz w:val="21"/>
                <w:szCs w:val="21"/>
              </w:rPr>
              <w:t>5.核设施：</w:t>
            </w:r>
            <w:r>
              <w:rPr>
                <w:rFonts w:hint="eastAsia" w:ascii="仿宋_GB2312" w:hAnsi="仿宋_GB2312" w:cs="仿宋_GB2312"/>
                <w:sz w:val="21"/>
                <w:szCs w:val="21"/>
              </w:rPr>
              <w:sym w:font="Wingdings" w:char="006C"/>
            </w:r>
            <w:r>
              <w:rPr>
                <w:rFonts w:hint="eastAsia" w:ascii="仿宋_GB2312" w:hAnsi="仿宋_GB2312" w:cs="仿宋_GB2312"/>
                <w:sz w:val="21"/>
                <w:szCs w:val="21"/>
              </w:rPr>
              <w:t>核工程类、核科学与技术；</w:t>
            </w:r>
            <w:r>
              <w:rPr>
                <w:rFonts w:hint="eastAsia" w:ascii="仿宋_GB2312" w:hAnsi="仿宋_GB2312" w:cs="仿宋_GB2312"/>
                <w:sz w:val="21"/>
                <w:szCs w:val="21"/>
              </w:rPr>
              <w:sym w:font="Wingdings" w:char="006C"/>
            </w:r>
            <w:r>
              <w:rPr>
                <w:rFonts w:hint="eastAsia" w:ascii="仿宋_GB2312" w:hAnsi="仿宋_GB2312" w:cs="仿宋_GB2312"/>
                <w:sz w:val="21"/>
                <w:szCs w:val="21"/>
              </w:rPr>
              <w:t>放射医学；</w:t>
            </w:r>
            <w:r>
              <w:rPr>
                <w:rFonts w:hint="eastAsia" w:ascii="仿宋_GB2312" w:hAnsi="仿宋_GB2312" w:cs="仿宋_GB2312"/>
                <w:sz w:val="21"/>
                <w:szCs w:val="21"/>
              </w:rPr>
              <w:sym w:font="Wingdings" w:char="006C"/>
            </w:r>
            <w:r>
              <w:rPr>
                <w:rFonts w:hint="eastAsia" w:ascii="仿宋_GB2312" w:hAnsi="仿宋_GB2312" w:cs="仿宋_GB2312"/>
                <w:sz w:val="21"/>
                <w:szCs w:val="21"/>
              </w:rPr>
              <w:t>核物理、放射化学</w:t>
            </w:r>
            <w:r>
              <w:rPr>
                <w:rFonts w:hint="eastAsia" w:ascii="仿宋_GB2312" w:hAnsi="仿宋_GB2312" w:cs="仿宋_GB2312"/>
                <w:sz w:val="21"/>
                <w:szCs w:val="21"/>
                <w:lang w:bidi="ar"/>
              </w:rPr>
              <w:t>、</w:t>
            </w:r>
            <w:r>
              <w:rPr>
                <w:rFonts w:hint="eastAsia" w:ascii="仿宋_GB2312" w:hAnsi="仿宋_GB2312" w:cs="仿宋_GB2312"/>
                <w:sz w:val="21"/>
                <w:szCs w:val="21"/>
              </w:rPr>
              <w:t>核生化消防、核电技术与控制工程等</w:t>
            </w:r>
            <w:r>
              <w:rPr>
                <w:rFonts w:hint="eastAsia" w:ascii="仿宋_GB2312" w:hAnsi="仿宋_GB2312" w:cs="仿宋_GB2312"/>
                <w:sz w:val="21"/>
                <w:szCs w:val="21"/>
                <w:lang w:bidi="ar"/>
              </w:rPr>
              <w:t>专业</w:t>
            </w:r>
            <w:r>
              <w:rPr>
                <w:rFonts w:hint="eastAsia" w:ascii="仿宋_GB2312" w:hAnsi="仿宋_GB2312" w:cs="仿宋_GB2312"/>
                <w:sz w:val="21"/>
                <w:szCs w:val="21"/>
              </w:rPr>
              <w:t>；</w:t>
            </w:r>
          </w:p>
          <w:p>
            <w:pPr>
              <w:spacing w:line="280" w:lineRule="exact"/>
              <w:rPr>
                <w:rFonts w:hint="eastAsia" w:ascii="仿宋_GB2312" w:hAnsi="仿宋_GB2312" w:cs="仿宋_GB2312"/>
                <w:kern w:val="0"/>
                <w:sz w:val="21"/>
                <w:szCs w:val="21"/>
                <w:lang w:bidi="ar"/>
              </w:rPr>
            </w:pPr>
            <w:r>
              <w:rPr>
                <w:rFonts w:hint="eastAsia" w:ascii="仿宋_GB2312" w:hAnsi="仿宋_GB2312" w:cs="仿宋_GB2312"/>
                <w:sz w:val="21"/>
                <w:szCs w:val="21"/>
              </w:rPr>
              <w:t>6.核技术工业应用：</w:t>
            </w:r>
            <w:r>
              <w:rPr>
                <w:rFonts w:hint="eastAsia" w:ascii="仿宋_GB2312" w:hAnsi="仿宋_GB2312" w:cs="仿宋_GB2312"/>
                <w:sz w:val="21"/>
                <w:szCs w:val="21"/>
              </w:rPr>
              <w:sym w:font="Wingdings" w:char="006C"/>
            </w:r>
            <w:r>
              <w:rPr>
                <w:rFonts w:hint="eastAsia" w:ascii="仿宋_GB2312" w:hAnsi="仿宋_GB2312" w:cs="仿宋_GB2312"/>
                <w:sz w:val="21"/>
                <w:szCs w:val="21"/>
              </w:rPr>
              <w:t>核工程</w:t>
            </w:r>
            <w:r>
              <w:rPr>
                <w:rFonts w:hint="eastAsia" w:ascii="仿宋_GB2312" w:hAnsi="仿宋_GB2312" w:cs="仿宋_GB2312"/>
                <w:sz w:val="21"/>
                <w:szCs w:val="21"/>
                <w:lang w:bidi="ar"/>
              </w:rPr>
              <w:t>类、</w:t>
            </w:r>
            <w:r>
              <w:rPr>
                <w:rFonts w:hint="eastAsia" w:ascii="仿宋_GB2312" w:hAnsi="仿宋_GB2312" w:cs="仿宋_GB2312"/>
                <w:sz w:val="21"/>
                <w:szCs w:val="21"/>
              </w:rPr>
              <w:t>核科学与技术、</w:t>
            </w:r>
            <w:r>
              <w:rPr>
                <w:rFonts w:hint="eastAsia" w:ascii="仿宋_GB2312" w:hAnsi="仿宋_GB2312" w:cs="仿宋_GB2312"/>
                <w:sz w:val="21"/>
                <w:szCs w:val="21"/>
                <w:lang w:bidi="ar"/>
              </w:rPr>
              <w:t>放射医学、核物理、放射化学、</w:t>
            </w:r>
            <w:r>
              <w:rPr>
                <w:rFonts w:hint="eastAsia" w:ascii="仿宋_GB2312" w:hAnsi="仿宋_GB2312" w:cs="仿宋_GB2312"/>
                <w:sz w:val="21"/>
                <w:szCs w:val="21"/>
              </w:rPr>
              <w:t>核生化消防、核电技术与控制工程等</w:t>
            </w:r>
            <w:r>
              <w:rPr>
                <w:rFonts w:hint="eastAsia" w:ascii="仿宋_GB2312" w:hAnsi="仿宋_GB2312" w:cs="仿宋_GB2312"/>
                <w:sz w:val="21"/>
                <w:szCs w:val="21"/>
                <w:lang w:bidi="ar"/>
              </w:rPr>
              <w:t>专业</w:t>
            </w:r>
            <w:r>
              <w:rPr>
                <w:rFonts w:hint="eastAsia" w:ascii="仿宋_GB2312" w:hAnsi="仿宋_GB2312" w:cs="仿宋_GB2312"/>
                <w:kern w:val="0"/>
                <w:sz w:val="21"/>
                <w:szCs w:val="21"/>
              </w:rPr>
              <w:t>。</w:t>
            </w:r>
          </w:p>
        </w:tc>
        <w:tc>
          <w:tcPr>
            <w:tcW w:w="2384" w:type="dxa"/>
            <w:noWrap w:val="0"/>
            <w:vAlign w:val="center"/>
          </w:tcPr>
          <w:p>
            <w:pPr>
              <w:spacing w:line="260" w:lineRule="exact"/>
              <w:rPr>
                <w:rFonts w:hint="eastAsia" w:ascii="仿宋_GB2312" w:hAnsi="仿宋_GB2312" w:cs="仿宋_GB2312"/>
                <w:sz w:val="21"/>
                <w:szCs w:val="21"/>
              </w:rPr>
            </w:pPr>
          </w:p>
          <w:p>
            <w:pPr>
              <w:spacing w:line="260" w:lineRule="exact"/>
              <w:rPr>
                <w:rFonts w:hint="eastAsia" w:ascii="仿宋_GB2312" w:hAnsi="仿宋_GB2312" w:cs="仿宋_GB2312"/>
                <w:sz w:val="21"/>
                <w:szCs w:val="21"/>
              </w:rPr>
            </w:pPr>
          </w:p>
          <w:p>
            <w:pPr>
              <w:spacing w:line="260" w:lineRule="exact"/>
              <w:rPr>
                <w:rFonts w:hint="eastAsia" w:ascii="仿宋_GB2312" w:hAnsi="仿宋_GB2312" w:cs="仿宋_GB2312"/>
                <w:sz w:val="21"/>
                <w:szCs w:val="21"/>
              </w:rPr>
            </w:pPr>
          </w:p>
          <w:p>
            <w:pPr>
              <w:spacing w:line="260" w:lineRule="exact"/>
              <w:rPr>
                <w:rFonts w:hint="eastAsia" w:ascii="仿宋_GB2312" w:hAnsi="仿宋_GB2312" w:cs="仿宋_GB2312"/>
                <w:sz w:val="21"/>
                <w:szCs w:val="21"/>
              </w:rPr>
            </w:pPr>
          </w:p>
          <w:p>
            <w:pPr>
              <w:spacing w:line="260" w:lineRule="exact"/>
              <w:rPr>
                <w:rFonts w:hint="eastAsia" w:ascii="仿宋_GB2312" w:hAnsi="仿宋_GB2312" w:cs="仿宋_GB2312"/>
                <w:sz w:val="21"/>
                <w:szCs w:val="21"/>
              </w:rPr>
            </w:pPr>
          </w:p>
          <w:p>
            <w:pPr>
              <w:widowControl/>
              <w:spacing w:line="260" w:lineRule="exact"/>
              <w:jc w:val="left"/>
              <w:textAlignment w:val="center"/>
              <w:rPr>
                <w:rFonts w:hint="eastAsia" w:ascii="仿宋_GB2312" w:hAnsi="仿宋_GB2312" w:cs="仿宋_GB2312"/>
                <w:kern w:val="0"/>
                <w:sz w:val="21"/>
                <w:szCs w:val="21"/>
                <w:lang w:bidi="ar"/>
              </w:rPr>
            </w:pPr>
          </w:p>
        </w:tc>
      </w:tr>
    </w:tbl>
    <w:p>
      <w:pPr>
        <w:adjustRightInd w:val="0"/>
        <w:snapToGrid w:val="0"/>
        <w:spacing w:after="0" w:line="340" w:lineRule="exact"/>
        <w:ind w:firstLine="420" w:firstLineChars="200"/>
        <w:jc w:val="left"/>
        <w:rPr>
          <w:rFonts w:hint="eastAsia" w:ascii="仿宋_GB2312" w:hAnsi="仿宋_GB2312" w:cs="仿宋_GB2312"/>
          <w:kern w:val="0"/>
          <w:sz w:val="21"/>
          <w:szCs w:val="21"/>
        </w:rPr>
      </w:pPr>
      <w:r>
        <w:rPr>
          <w:rFonts w:hint="eastAsia" w:ascii="仿宋_GB2312" w:hAnsi="仿宋_GB2312" w:cs="仿宋_GB2312"/>
          <w:kern w:val="0"/>
          <w:sz w:val="21"/>
          <w:szCs w:val="21"/>
        </w:rPr>
        <w:t>说明：</w:t>
      </w:r>
    </w:p>
    <w:p>
      <w:pPr>
        <w:spacing w:after="0" w:line="360" w:lineRule="exact"/>
        <w:ind w:firstLine="420"/>
        <w:jc w:val="left"/>
        <w:rPr>
          <w:rFonts w:hint="eastAsia" w:ascii="仿宋_GB2312" w:hAnsi="仿宋_GB2312" w:cs="仿宋_GB2312"/>
          <w:kern w:val="0"/>
          <w:sz w:val="21"/>
          <w:szCs w:val="21"/>
        </w:rPr>
      </w:pPr>
      <w:r>
        <w:rPr>
          <w:rFonts w:hint="eastAsia" w:ascii="仿宋_GB2312" w:hAnsi="仿宋_GB2312" w:cs="仿宋_GB2312"/>
          <w:kern w:val="0"/>
          <w:sz w:val="21"/>
          <w:szCs w:val="21"/>
        </w:rPr>
        <w:t>1.以上所涉及人员数量均是指达到考核评估合格要求的人员数量。2017年12月31日前已取得原省级以上安全监管部门指定机构颁发的培训合格证书，免于能力考核评估或取得全国卫生专业技术资格考试合格证书（理化检验技术中级，代码383）的专业技术人员，免于能力考核评估。</w:t>
      </w:r>
    </w:p>
    <w:p>
      <w:pPr>
        <w:adjustRightInd w:val="0"/>
        <w:snapToGrid w:val="0"/>
        <w:spacing w:after="0" w:line="360" w:lineRule="exact"/>
        <w:ind w:firstLine="420" w:firstLineChars="200"/>
        <w:jc w:val="left"/>
        <w:rPr>
          <w:rFonts w:hint="eastAsia" w:ascii="仿宋_GB2312" w:hAnsi="仿宋_GB2312" w:cs="仿宋_GB2312"/>
          <w:kern w:val="0"/>
          <w:sz w:val="21"/>
          <w:szCs w:val="21"/>
        </w:rPr>
      </w:pPr>
      <w:r>
        <w:rPr>
          <w:rFonts w:hint="eastAsia" w:ascii="仿宋_GB2312" w:hAnsi="仿宋_GB2312" w:cs="仿宋_GB2312"/>
          <w:kern w:val="0"/>
          <w:sz w:val="21"/>
          <w:szCs w:val="21"/>
        </w:rPr>
        <w:t>2.中级专业技术职称同等能力可以通过下列方式认定：①博士研究生，从取得毕业证书之日起从事职业卫生相关工作满1年；②硕士研究生，从取得毕业证书之日起从事职业卫生相关工作满4年；③大学本科毕业，从取得毕业证书之日起从事职业卫生相关工作满6年；④大学专科毕业，从取得毕业证书之日起从事职业卫生相关工作满8年。</w:t>
      </w:r>
    </w:p>
    <w:p>
      <w:pPr>
        <w:adjustRightInd w:val="0"/>
        <w:snapToGrid w:val="0"/>
        <w:spacing w:after="0" w:line="360" w:lineRule="exact"/>
        <w:ind w:firstLine="420" w:firstLineChars="200"/>
        <w:jc w:val="left"/>
        <w:rPr>
          <w:rFonts w:hint="eastAsia" w:ascii="仿宋_GB2312" w:hAnsi="仿宋_GB2312" w:cs="仿宋_GB2312"/>
          <w:kern w:val="0"/>
          <w:sz w:val="21"/>
          <w:szCs w:val="21"/>
        </w:rPr>
      </w:pPr>
      <w:r>
        <w:rPr>
          <w:rFonts w:hint="eastAsia" w:ascii="仿宋_GB2312" w:hAnsi="仿宋_GB2312" w:cs="仿宋_GB2312"/>
          <w:kern w:val="0"/>
          <w:sz w:val="21"/>
          <w:szCs w:val="21"/>
        </w:rPr>
        <w:t>3.高级专业技术职称同等能力可以通过下列方式认定：①博士研究生，从取得毕业证书之日起从事职业卫生相关工作满7年；②硕士研究生，从取得毕业证书之日起从事职业卫生相关工作满10年；③大学本科毕业，从取得毕业证书之日起从事职业卫生相关工作满12年</w:t>
      </w:r>
      <w:r>
        <w:rPr>
          <w:rFonts w:hint="eastAsia" w:ascii="仿宋_GB2312" w:hAnsi="仿宋_GB2312" w:cs="仿宋_GB2312"/>
          <w:kern w:val="0"/>
          <w:sz w:val="21"/>
          <w:szCs w:val="21"/>
          <w:lang w:eastAsia="zh-CN"/>
        </w:rPr>
        <w:t>；</w:t>
      </w:r>
      <w:r>
        <w:rPr>
          <w:rFonts w:hint="eastAsia" w:ascii="仿宋_GB2312" w:hAnsi="仿宋_GB2312" w:cs="仿宋_GB2312"/>
          <w:kern w:val="0"/>
          <w:sz w:val="21"/>
          <w:szCs w:val="21"/>
        </w:rPr>
        <w:t>④大学专科毕业，从取得毕业证书之日起从事职业卫生相关工作满14年。</w:t>
      </w:r>
    </w:p>
    <w:p>
      <w:pPr>
        <w:adjustRightInd w:val="0"/>
        <w:snapToGrid w:val="0"/>
        <w:spacing w:after="0" w:line="360" w:lineRule="exact"/>
        <w:ind w:firstLine="420" w:firstLineChars="200"/>
        <w:jc w:val="left"/>
        <w:rPr>
          <w:rFonts w:hint="eastAsia" w:ascii="仿宋_GB2312" w:hAnsi="仿宋_GB2312" w:cs="仿宋_GB2312"/>
          <w:kern w:val="0"/>
          <w:sz w:val="21"/>
          <w:szCs w:val="21"/>
        </w:rPr>
      </w:pPr>
      <w:r>
        <w:rPr>
          <w:rFonts w:hint="eastAsia" w:ascii="仿宋_GB2312" w:hAnsi="仿宋_GB2312" w:cs="仿宋_GB2312"/>
          <w:kern w:val="0"/>
          <w:sz w:val="21"/>
          <w:szCs w:val="21"/>
        </w:rPr>
        <w:t>4.职业卫生检测、评价专业技术人员指从事职业卫生检测、评价相关工作的专业技术人员。</w:t>
      </w:r>
    </w:p>
    <w:p>
      <w:pPr>
        <w:adjustRightInd w:val="0"/>
        <w:snapToGrid w:val="0"/>
        <w:spacing w:after="0" w:line="360" w:lineRule="exact"/>
        <w:ind w:firstLine="420" w:firstLineChars="200"/>
        <w:jc w:val="left"/>
        <w:rPr>
          <w:rFonts w:hint="eastAsia" w:ascii="仿宋_GB2312" w:hAnsi="仿宋_GB2312" w:cs="仿宋_GB2312"/>
          <w:kern w:val="0"/>
          <w:sz w:val="21"/>
          <w:szCs w:val="21"/>
        </w:rPr>
      </w:pPr>
      <w:r>
        <w:rPr>
          <w:rFonts w:hint="eastAsia" w:ascii="仿宋_GB2312" w:hAnsi="仿宋_GB2312" w:cs="仿宋_GB2312"/>
          <w:kern w:val="0"/>
          <w:sz w:val="21"/>
          <w:szCs w:val="21"/>
        </w:rPr>
        <w:t>5.放射卫生检测、评价人员指从事放射卫生检测、评价相关工作的专业技术人员。</w:t>
      </w:r>
    </w:p>
    <w:p>
      <w:pPr>
        <w:spacing w:after="0" w:line="360" w:lineRule="exact"/>
        <w:ind w:firstLine="420" w:firstLineChars="200"/>
        <w:jc w:val="left"/>
        <w:rPr>
          <w:rFonts w:hint="eastAsia" w:ascii="仿宋_GB2312" w:hAnsi="仿宋_GB2312" w:cs="仿宋_GB2312"/>
          <w:kern w:val="0"/>
          <w:sz w:val="21"/>
          <w:szCs w:val="21"/>
        </w:rPr>
      </w:pPr>
      <w:r>
        <w:rPr>
          <w:rFonts w:hint="eastAsia" w:ascii="仿宋_GB2312" w:hAnsi="仿宋_GB2312" w:cs="仿宋_GB2312"/>
          <w:kern w:val="0"/>
          <w:sz w:val="21"/>
          <w:szCs w:val="21"/>
        </w:rPr>
        <w:t>6.职业卫生工程技术人员指所学专业为职业卫生工程、安全工程、环境工程、劳动保护、暖通空调、供热与通风等相关专业或具有相关专业能力的技术人员。</w:t>
      </w:r>
    </w:p>
    <w:p>
      <w:pPr>
        <w:adjustRightInd w:val="0"/>
        <w:snapToGrid w:val="0"/>
        <w:spacing w:after="0" w:line="360" w:lineRule="exact"/>
        <w:ind w:firstLine="420" w:firstLineChars="200"/>
        <w:jc w:val="left"/>
        <w:rPr>
          <w:rFonts w:hint="eastAsia" w:ascii="仿宋_GB2312" w:hAnsi="仿宋_GB2312" w:cs="仿宋_GB2312"/>
          <w:kern w:val="0"/>
          <w:sz w:val="21"/>
          <w:szCs w:val="21"/>
        </w:rPr>
      </w:pPr>
      <w:r>
        <w:rPr>
          <w:rFonts w:hint="eastAsia" w:ascii="仿宋_GB2312" w:hAnsi="仿宋_GB2312" w:cs="仿宋_GB2312"/>
          <w:kern w:val="0"/>
          <w:sz w:val="21"/>
          <w:szCs w:val="21"/>
        </w:rPr>
        <w:t>7.公共卫生专业人员指所学专业为预防医学、公共卫生、劳动卫生、职业卫生等相关专业或具有相关专业能力的技术人员。</w:t>
      </w:r>
    </w:p>
    <w:p>
      <w:pPr>
        <w:adjustRightInd w:val="0"/>
        <w:snapToGrid w:val="0"/>
        <w:spacing w:after="0" w:line="360" w:lineRule="exact"/>
        <w:ind w:firstLine="420" w:firstLineChars="200"/>
        <w:jc w:val="left"/>
        <w:rPr>
          <w:rFonts w:hint="eastAsia" w:ascii="仿宋_GB2312" w:hAnsi="仿宋_GB2312" w:cs="仿宋_GB2312"/>
          <w:kern w:val="0"/>
          <w:sz w:val="21"/>
          <w:szCs w:val="21"/>
        </w:rPr>
      </w:pPr>
      <w:r>
        <w:rPr>
          <w:rFonts w:hint="eastAsia" w:ascii="仿宋_GB2312" w:hAnsi="仿宋_GB2312" w:cs="仿宋_GB2312"/>
          <w:kern w:val="0"/>
          <w:sz w:val="21"/>
          <w:szCs w:val="21"/>
        </w:rPr>
        <w:t>8.相关专业能力可通过中级及以上专业技术职称或学术专著（主编或副主编）、科研论文（第一作者或通讯作者、国家中文核心期刊及以上）、发明专利（署名前三）、科技进步奖（排名前三）等从业经历证明材料认定。</w:t>
      </w:r>
    </w:p>
    <w:p>
      <w:pPr>
        <w:adjustRightInd w:val="0"/>
        <w:snapToGrid w:val="0"/>
        <w:spacing w:after="0" w:line="360" w:lineRule="exact"/>
        <w:ind w:firstLine="420" w:firstLineChars="200"/>
        <w:jc w:val="left"/>
        <w:rPr>
          <w:rFonts w:hint="eastAsia" w:ascii="仿宋_GB2312" w:hAnsi="仿宋_GB2312" w:cs="仿宋_GB2312"/>
          <w:kern w:val="0"/>
          <w:sz w:val="21"/>
          <w:szCs w:val="21"/>
        </w:rPr>
      </w:pPr>
      <w:r>
        <w:rPr>
          <w:rFonts w:hint="eastAsia" w:ascii="仿宋_GB2312" w:hAnsi="仿宋_GB2312" w:cs="仿宋_GB2312"/>
          <w:kern w:val="0"/>
          <w:sz w:val="21"/>
          <w:szCs w:val="21"/>
        </w:rPr>
        <w:t>9.取得“注册安全工程师”资格的人员可以认定为职业卫生工程技术人员，按照注册专业的类别可以认定为相应行业工程技术人员。取得“注册核安全工程师”资格的人员可以认定为“核工程类专业”</w:t>
      </w:r>
      <w:r>
        <w:rPr>
          <w:rFonts w:hint="eastAsia" w:ascii="仿宋_GB2312" w:hAnsi="仿宋_GB2312" w:cs="仿宋_GB2312"/>
          <w:kern w:val="0"/>
          <w:sz w:val="21"/>
          <w:szCs w:val="21"/>
          <w:lang w:bidi="ar"/>
        </w:rPr>
        <w:t>行业工程技术人员</w:t>
      </w:r>
      <w:r>
        <w:rPr>
          <w:rFonts w:hint="eastAsia" w:ascii="仿宋_GB2312" w:hAnsi="仿宋_GB2312" w:cs="仿宋_GB2312"/>
          <w:kern w:val="0"/>
          <w:sz w:val="21"/>
          <w:szCs w:val="21"/>
        </w:rPr>
        <w:t>。</w:t>
      </w:r>
    </w:p>
    <w:p>
      <w:pPr>
        <w:adjustRightInd w:val="0"/>
        <w:snapToGrid w:val="0"/>
        <w:spacing w:after="0" w:line="360" w:lineRule="exact"/>
        <w:ind w:firstLine="420" w:firstLineChars="200"/>
        <w:jc w:val="left"/>
        <w:rPr>
          <w:rFonts w:eastAsia="黑体"/>
          <w:kern w:val="0"/>
          <w:szCs w:val="32"/>
        </w:rPr>
      </w:pPr>
      <w:r>
        <w:rPr>
          <w:rFonts w:hint="eastAsia" w:ascii="仿宋_GB2312" w:hAnsi="仿宋_GB2312" w:cs="仿宋_GB2312"/>
          <w:kern w:val="0"/>
          <w:sz w:val="21"/>
          <w:szCs w:val="21"/>
        </w:rPr>
        <w:t>10.各类人员可重复认定。</w:t>
      </w:r>
      <w:r>
        <w:rPr>
          <w:rFonts w:hint="eastAsia" w:ascii="仿宋_GB2312" w:hAnsi="仿宋_GB2312" w:cs="仿宋_GB2312"/>
          <w:kern w:val="0"/>
          <w:sz w:val="24"/>
        </w:rPr>
        <w:br w:type="page"/>
      </w:r>
      <w:r>
        <w:rPr>
          <w:rFonts w:hint="eastAsia" w:eastAsia="黑体"/>
          <w:szCs w:val="32"/>
          <w:shd w:val="clear" w:color="auto" w:fill="FFFFFF"/>
          <w:lang w:bidi="ar"/>
        </w:rPr>
        <w:t>附录3</w:t>
      </w:r>
    </w:p>
    <w:p>
      <w:pPr>
        <w:jc w:val="center"/>
        <w:rPr>
          <w:rFonts w:ascii="华文中宋" w:hAnsi="华文中宋" w:eastAsia="华文中宋"/>
          <w:b/>
          <w:sz w:val="36"/>
          <w:szCs w:val="36"/>
        </w:rPr>
      </w:pPr>
      <w:r>
        <w:rPr>
          <w:rFonts w:hint="eastAsia" w:ascii="华文中宋" w:hAnsi="华文中宋" w:eastAsia="华文中宋"/>
          <w:b/>
          <w:sz w:val="36"/>
          <w:szCs w:val="36"/>
        </w:rPr>
        <w:t>职业卫生技术服务机构主要仪器设备要求</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
      <w:tblGrid>
        <w:gridCol w:w="869"/>
        <w:gridCol w:w="2955"/>
        <w:gridCol w:w="1203"/>
        <w:gridCol w:w="1163"/>
        <w:gridCol w:w="3198"/>
      </w:tblGrid>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192" w:hRule="atLeast"/>
          <w:jc w:val="center"/>
        </w:trPr>
        <w:tc>
          <w:tcPr>
            <w:tcW w:w="869" w:type="dxa"/>
            <w:vMerge w:val="restart"/>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b/>
                <w:color w:val="000000"/>
                <w:kern w:val="0"/>
                <w:sz w:val="21"/>
                <w:szCs w:val="21"/>
                <w:lang w:bidi="ar"/>
              </w:rPr>
            </w:pPr>
            <w:r>
              <w:rPr>
                <w:rFonts w:hint="eastAsia" w:ascii="仿宋_GB2312" w:hAnsi="仿宋_GB2312" w:cs="仿宋_GB2312"/>
                <w:b/>
                <w:color w:val="000000"/>
                <w:kern w:val="0"/>
                <w:sz w:val="21"/>
                <w:szCs w:val="21"/>
                <w:lang w:bidi="ar"/>
              </w:rPr>
              <w:t>设备</w:t>
            </w:r>
          </w:p>
          <w:p>
            <w:pPr>
              <w:widowControl/>
              <w:spacing w:line="280" w:lineRule="exact"/>
              <w:jc w:val="center"/>
              <w:textAlignment w:val="center"/>
              <w:rPr>
                <w:rFonts w:hint="eastAsia" w:ascii="仿宋_GB2312" w:hAnsi="仿宋_GB2312" w:cs="仿宋_GB2312"/>
                <w:b/>
                <w:color w:val="000000"/>
                <w:sz w:val="21"/>
                <w:szCs w:val="21"/>
              </w:rPr>
            </w:pPr>
            <w:r>
              <w:rPr>
                <w:rFonts w:hint="eastAsia" w:ascii="仿宋_GB2312" w:hAnsi="仿宋_GB2312" w:cs="仿宋_GB2312"/>
                <w:b/>
                <w:color w:val="000000"/>
                <w:kern w:val="0"/>
                <w:sz w:val="21"/>
                <w:szCs w:val="21"/>
                <w:lang w:bidi="ar"/>
              </w:rPr>
              <w:t>编号</w:t>
            </w:r>
          </w:p>
        </w:tc>
        <w:tc>
          <w:tcPr>
            <w:tcW w:w="2955" w:type="dxa"/>
            <w:vMerge w:val="restart"/>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b/>
                <w:color w:val="000000"/>
                <w:sz w:val="21"/>
                <w:szCs w:val="21"/>
              </w:rPr>
            </w:pPr>
            <w:r>
              <w:rPr>
                <w:rFonts w:hint="eastAsia" w:ascii="仿宋_GB2312" w:hAnsi="仿宋_GB2312" w:cs="仿宋_GB2312"/>
                <w:b/>
                <w:color w:val="000000"/>
                <w:kern w:val="0"/>
                <w:sz w:val="21"/>
                <w:szCs w:val="21"/>
                <w:lang w:bidi="ar"/>
              </w:rPr>
              <w:t>设备名称、规格</w:t>
            </w:r>
          </w:p>
        </w:tc>
        <w:tc>
          <w:tcPr>
            <w:tcW w:w="2366" w:type="dxa"/>
            <w:gridSpan w:val="2"/>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b/>
                <w:color w:val="000000"/>
                <w:sz w:val="21"/>
                <w:szCs w:val="21"/>
              </w:rPr>
            </w:pPr>
            <w:r>
              <w:rPr>
                <w:rFonts w:hint="eastAsia" w:ascii="仿宋_GB2312" w:hAnsi="仿宋_GB2312" w:cs="仿宋_GB2312"/>
                <w:b/>
                <w:color w:val="000000"/>
                <w:kern w:val="0"/>
                <w:sz w:val="21"/>
                <w:szCs w:val="21"/>
                <w:lang w:bidi="ar"/>
              </w:rPr>
              <w:t>数量要求（台/件）</w:t>
            </w:r>
          </w:p>
        </w:tc>
        <w:tc>
          <w:tcPr>
            <w:tcW w:w="3198" w:type="dxa"/>
            <w:vMerge w:val="restart"/>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b/>
                <w:color w:val="000000"/>
                <w:sz w:val="21"/>
                <w:szCs w:val="21"/>
              </w:rPr>
            </w:pPr>
            <w:r>
              <w:rPr>
                <w:rFonts w:hint="eastAsia" w:ascii="仿宋_GB2312" w:hAnsi="仿宋_GB2312" w:cs="仿宋_GB2312"/>
                <w:b/>
                <w:color w:val="000000"/>
                <w:kern w:val="0"/>
                <w:sz w:val="21"/>
                <w:szCs w:val="21"/>
                <w:lang w:bidi="ar"/>
              </w:rPr>
              <w:t>备注</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869" w:type="dxa"/>
            <w:vMerge w:val="continue"/>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b/>
                <w:color w:val="000000"/>
                <w:sz w:val="21"/>
                <w:szCs w:val="21"/>
              </w:rPr>
            </w:pPr>
          </w:p>
        </w:tc>
        <w:tc>
          <w:tcPr>
            <w:tcW w:w="2955" w:type="dxa"/>
            <w:vMerge w:val="continue"/>
            <w:noWrap w:val="0"/>
            <w:tcMar>
              <w:top w:w="10" w:type="dxa"/>
              <w:left w:w="10" w:type="dxa"/>
              <w:right w:w="10" w:type="dxa"/>
            </w:tcMar>
            <w:vAlign w:val="center"/>
          </w:tcPr>
          <w:p>
            <w:pPr>
              <w:spacing w:line="280" w:lineRule="exact"/>
              <w:jc w:val="center"/>
              <w:rPr>
                <w:rFonts w:hint="eastAsia" w:ascii="仿宋_GB2312" w:hAnsi="仿宋_GB2312" w:cs="仿宋_GB2312"/>
                <w:b/>
                <w:color w:val="000000"/>
                <w:sz w:val="21"/>
                <w:szCs w:val="21"/>
              </w:rPr>
            </w:pP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b/>
                <w:color w:val="000000"/>
                <w:sz w:val="21"/>
                <w:szCs w:val="21"/>
              </w:rPr>
            </w:pPr>
            <w:r>
              <w:rPr>
                <w:rFonts w:hint="eastAsia" w:ascii="仿宋_GB2312" w:hAnsi="仿宋_GB2312" w:cs="仿宋_GB2312"/>
                <w:b/>
                <w:color w:val="000000"/>
                <w:kern w:val="0"/>
                <w:sz w:val="21"/>
                <w:szCs w:val="21"/>
                <w:lang w:bidi="ar"/>
              </w:rPr>
              <w:t>甲级</w:t>
            </w:r>
          </w:p>
        </w:tc>
        <w:tc>
          <w:tcPr>
            <w:tcW w:w="116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b/>
                <w:color w:val="000000"/>
                <w:sz w:val="21"/>
                <w:szCs w:val="21"/>
              </w:rPr>
            </w:pPr>
            <w:r>
              <w:rPr>
                <w:rFonts w:hint="eastAsia" w:ascii="仿宋_GB2312" w:hAnsi="仿宋_GB2312" w:cs="仿宋_GB2312"/>
                <w:b/>
                <w:color w:val="000000"/>
                <w:kern w:val="0"/>
                <w:sz w:val="21"/>
                <w:szCs w:val="21"/>
                <w:lang w:bidi="ar"/>
              </w:rPr>
              <w:t>乙级</w:t>
            </w:r>
          </w:p>
        </w:tc>
        <w:tc>
          <w:tcPr>
            <w:tcW w:w="3198" w:type="dxa"/>
            <w:vMerge w:val="continue"/>
            <w:noWrap w:val="0"/>
            <w:tcMar>
              <w:top w:w="10" w:type="dxa"/>
              <w:left w:w="10" w:type="dxa"/>
              <w:right w:w="10" w:type="dxa"/>
            </w:tcMar>
            <w:vAlign w:val="center"/>
          </w:tcPr>
          <w:p>
            <w:pPr>
              <w:spacing w:line="280" w:lineRule="exact"/>
              <w:jc w:val="center"/>
              <w:rPr>
                <w:rFonts w:hint="eastAsia" w:ascii="仿宋_GB2312" w:hAnsi="仿宋_GB2312" w:cs="仿宋_GB2312"/>
                <w:b/>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310" w:hRule="atLeast"/>
          <w:jc w:val="center"/>
        </w:trPr>
        <w:tc>
          <w:tcPr>
            <w:tcW w:w="9388" w:type="dxa"/>
            <w:gridSpan w:val="5"/>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b/>
                <w:color w:val="000000"/>
                <w:sz w:val="21"/>
                <w:szCs w:val="21"/>
              </w:rPr>
            </w:pPr>
            <w:r>
              <w:rPr>
                <w:rFonts w:hint="eastAsia" w:ascii="仿宋_GB2312" w:hAnsi="仿宋_GB2312" w:cs="仿宋_GB2312"/>
                <w:b/>
                <w:color w:val="000000"/>
                <w:kern w:val="0"/>
                <w:sz w:val="21"/>
                <w:szCs w:val="21"/>
                <w:lang w:bidi="ar"/>
              </w:rPr>
              <w:t>一、第一类业务范围</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b/>
                <w:color w:val="000000"/>
                <w:sz w:val="21"/>
                <w:szCs w:val="21"/>
              </w:rPr>
            </w:pPr>
            <w:r>
              <w:rPr>
                <w:rFonts w:hint="eastAsia" w:ascii="仿宋_GB2312" w:hAnsi="仿宋_GB2312" w:cs="仿宋_GB2312"/>
                <w:b/>
                <w:color w:val="000000"/>
                <w:kern w:val="0"/>
                <w:sz w:val="21"/>
                <w:szCs w:val="21"/>
                <w:lang w:bidi="ar"/>
              </w:rPr>
              <w:t>（一）</w:t>
            </w:r>
          </w:p>
        </w:tc>
        <w:tc>
          <w:tcPr>
            <w:tcW w:w="8519" w:type="dxa"/>
            <w:gridSpan w:val="4"/>
            <w:noWrap w:val="0"/>
            <w:tcMar>
              <w:top w:w="11" w:type="dxa"/>
              <w:left w:w="125" w:type="dxa"/>
              <w:right w:w="125" w:type="dxa"/>
            </w:tcMar>
            <w:vAlign w:val="center"/>
          </w:tcPr>
          <w:p>
            <w:pPr>
              <w:spacing w:line="280" w:lineRule="exact"/>
              <w:jc w:val="left"/>
              <w:rPr>
                <w:rFonts w:hint="eastAsia" w:ascii="仿宋_GB2312" w:hAnsi="仿宋_GB2312" w:cs="仿宋_GB2312"/>
                <w:color w:val="000000"/>
                <w:sz w:val="21"/>
                <w:szCs w:val="21"/>
              </w:rPr>
            </w:pPr>
            <w:r>
              <w:rPr>
                <w:rFonts w:hint="eastAsia" w:ascii="仿宋_GB2312" w:hAnsi="仿宋_GB2312" w:cs="仿宋_GB2312"/>
                <w:b/>
                <w:color w:val="000000"/>
                <w:kern w:val="0"/>
                <w:sz w:val="21"/>
                <w:szCs w:val="21"/>
                <w:lang w:bidi="ar"/>
              </w:rPr>
              <w:t>采样设备</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579"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2955" w:type="dxa"/>
            <w:noWrap w:val="0"/>
            <w:tcMar>
              <w:top w:w="11" w:type="dxa"/>
              <w:left w:w="125" w:type="dxa"/>
              <w:right w:w="125"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采样泵（包括防爆采样泵）</w:t>
            </w:r>
          </w:p>
        </w:tc>
        <w:tc>
          <w:tcPr>
            <w:tcW w:w="120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20（10）</w:t>
            </w:r>
          </w:p>
        </w:tc>
        <w:tc>
          <w:tcPr>
            <w:tcW w:w="116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10（5）</w:t>
            </w:r>
          </w:p>
        </w:tc>
        <w:tc>
          <w:tcPr>
            <w:tcW w:w="3198" w:type="dxa"/>
            <w:noWrap w:val="0"/>
            <w:tcMar>
              <w:top w:w="10" w:type="dxa"/>
              <w:left w:w="10" w:type="dxa"/>
              <w:right w:w="10" w:type="dxa"/>
            </w:tcMar>
            <w:vAlign w:val="center"/>
          </w:tcPr>
          <w:p>
            <w:pPr>
              <w:widowControl/>
              <w:spacing w:line="280" w:lineRule="exact"/>
              <w:jc w:val="left"/>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应满足20mL/min～500mL/min采样流量要求，流量精度要求&lt;5%。</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508"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w:t>
            </w:r>
          </w:p>
        </w:tc>
        <w:tc>
          <w:tcPr>
            <w:tcW w:w="2955" w:type="dxa"/>
            <w:noWrap w:val="0"/>
            <w:tcMar>
              <w:top w:w="11" w:type="dxa"/>
              <w:left w:w="125" w:type="dxa"/>
              <w:right w:w="125"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采样泵（包括防爆采样泵）</w:t>
            </w:r>
          </w:p>
        </w:tc>
        <w:tc>
          <w:tcPr>
            <w:tcW w:w="120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20（10）</w:t>
            </w:r>
          </w:p>
        </w:tc>
        <w:tc>
          <w:tcPr>
            <w:tcW w:w="116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10（5）</w:t>
            </w:r>
          </w:p>
        </w:tc>
        <w:tc>
          <w:tcPr>
            <w:tcW w:w="3198" w:type="dxa"/>
            <w:noWrap w:val="0"/>
            <w:tcMar>
              <w:top w:w="10" w:type="dxa"/>
              <w:left w:w="10" w:type="dxa"/>
              <w:right w:w="10" w:type="dxa"/>
            </w:tcMar>
            <w:vAlign w:val="center"/>
          </w:tcPr>
          <w:p>
            <w:pPr>
              <w:widowControl/>
              <w:spacing w:line="280" w:lineRule="exact"/>
              <w:jc w:val="left"/>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应满足1L/min～5L/min采样流量要求，流量精度要求&lt;5%。</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519"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3</w:t>
            </w:r>
          </w:p>
        </w:tc>
        <w:tc>
          <w:tcPr>
            <w:tcW w:w="2955" w:type="dxa"/>
            <w:noWrap w:val="0"/>
            <w:tcMar>
              <w:top w:w="11" w:type="dxa"/>
              <w:left w:w="125" w:type="dxa"/>
              <w:right w:w="125"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采样泵（包括防爆采样泵）</w:t>
            </w:r>
          </w:p>
        </w:tc>
        <w:tc>
          <w:tcPr>
            <w:tcW w:w="120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10（5）</w:t>
            </w:r>
          </w:p>
        </w:tc>
        <w:tc>
          <w:tcPr>
            <w:tcW w:w="116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10（5）</w:t>
            </w:r>
          </w:p>
        </w:tc>
        <w:tc>
          <w:tcPr>
            <w:tcW w:w="3198" w:type="dxa"/>
            <w:noWrap w:val="0"/>
            <w:tcMar>
              <w:top w:w="10" w:type="dxa"/>
              <w:left w:w="10" w:type="dxa"/>
              <w:right w:w="10" w:type="dxa"/>
            </w:tcMar>
            <w:vAlign w:val="center"/>
          </w:tcPr>
          <w:p>
            <w:pPr>
              <w:widowControl/>
              <w:spacing w:line="280" w:lineRule="exact"/>
              <w:jc w:val="left"/>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应满足5L/min～20L/min采样流量要求，流量精度要求&lt;5%。</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428"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4</w:t>
            </w:r>
          </w:p>
        </w:tc>
        <w:tc>
          <w:tcPr>
            <w:tcW w:w="2955" w:type="dxa"/>
            <w:noWrap w:val="0"/>
            <w:tcMar>
              <w:top w:w="11" w:type="dxa"/>
              <w:left w:w="125" w:type="dxa"/>
              <w:right w:w="125"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流量计（皂膜或干式流量计）20mL/min～20L/min</w:t>
            </w:r>
          </w:p>
        </w:tc>
        <w:tc>
          <w:tcPr>
            <w:tcW w:w="120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2套</w:t>
            </w:r>
          </w:p>
        </w:tc>
        <w:tc>
          <w:tcPr>
            <w:tcW w:w="116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2套</w:t>
            </w:r>
          </w:p>
        </w:tc>
        <w:tc>
          <w:tcPr>
            <w:tcW w:w="3198" w:type="dxa"/>
            <w:noWrap w:val="0"/>
            <w:tcMar>
              <w:top w:w="10" w:type="dxa"/>
              <w:left w:w="10" w:type="dxa"/>
              <w:right w:w="10" w:type="dxa"/>
            </w:tcMar>
            <w:vAlign w:val="center"/>
          </w:tcPr>
          <w:p>
            <w:pPr>
              <w:widowControl/>
              <w:spacing w:line="280" w:lineRule="exact"/>
              <w:jc w:val="left"/>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流量计范围满足采样流量测定要求。</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897"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5</w:t>
            </w:r>
          </w:p>
        </w:tc>
        <w:tc>
          <w:tcPr>
            <w:tcW w:w="2955" w:type="dxa"/>
            <w:noWrap w:val="0"/>
            <w:tcMar>
              <w:top w:w="11" w:type="dxa"/>
              <w:left w:w="85" w:type="dxa"/>
              <w:right w:w="28"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各种空气样品收集器（大型气泡吸收管、小型气泡吸收管、多孔玻板吸收管、冲击式吸收管、各种型号固体吸附剂管等）</w:t>
            </w:r>
          </w:p>
        </w:tc>
        <w:tc>
          <w:tcPr>
            <w:tcW w:w="120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15（每种）</w:t>
            </w:r>
          </w:p>
        </w:tc>
        <w:tc>
          <w:tcPr>
            <w:tcW w:w="116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15（每种）</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310"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b/>
                <w:color w:val="000000"/>
                <w:sz w:val="21"/>
                <w:szCs w:val="21"/>
              </w:rPr>
            </w:pPr>
            <w:r>
              <w:rPr>
                <w:rFonts w:hint="eastAsia" w:ascii="仿宋_GB2312" w:hAnsi="仿宋_GB2312" w:cs="仿宋_GB2312"/>
                <w:b/>
                <w:color w:val="000000"/>
                <w:kern w:val="0"/>
                <w:sz w:val="21"/>
                <w:szCs w:val="21"/>
                <w:lang w:bidi="ar"/>
              </w:rPr>
              <w:t>（二）</w:t>
            </w:r>
          </w:p>
        </w:tc>
        <w:tc>
          <w:tcPr>
            <w:tcW w:w="8519" w:type="dxa"/>
            <w:gridSpan w:val="4"/>
            <w:noWrap w:val="0"/>
            <w:tcMar>
              <w:top w:w="10" w:type="dxa"/>
              <w:left w:w="10" w:type="dxa"/>
              <w:right w:w="10" w:type="dxa"/>
            </w:tcMar>
            <w:vAlign w:val="center"/>
          </w:tcPr>
          <w:p>
            <w:pPr>
              <w:spacing w:line="280" w:lineRule="exact"/>
              <w:jc w:val="left"/>
              <w:rPr>
                <w:rFonts w:hint="eastAsia" w:ascii="仿宋_GB2312" w:hAnsi="仿宋_GB2312" w:cs="仿宋_GB2312"/>
                <w:b/>
                <w:color w:val="000000"/>
                <w:sz w:val="21"/>
                <w:szCs w:val="21"/>
              </w:rPr>
            </w:pPr>
            <w:r>
              <w:rPr>
                <w:rFonts w:hint="eastAsia" w:ascii="仿宋_GB2312" w:hAnsi="仿宋_GB2312" w:cs="仿宋_GB2312"/>
                <w:b/>
                <w:color w:val="000000"/>
                <w:kern w:val="0"/>
                <w:sz w:val="21"/>
                <w:szCs w:val="21"/>
                <w:lang w:bidi="ar"/>
              </w:rPr>
              <w:t>现场检测设备</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50"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6</w:t>
            </w:r>
          </w:p>
        </w:tc>
        <w:tc>
          <w:tcPr>
            <w:tcW w:w="2955" w:type="dxa"/>
            <w:noWrap w:val="0"/>
            <w:tcMar>
              <w:top w:w="11" w:type="dxa"/>
              <w:left w:w="125" w:type="dxa"/>
              <w:right w:w="28"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个体噪声剂量计（包括防爆）</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10（4）</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5（2）</w:t>
            </w:r>
          </w:p>
        </w:tc>
        <w:tc>
          <w:tcPr>
            <w:tcW w:w="3198"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343"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7</w:t>
            </w:r>
          </w:p>
        </w:tc>
        <w:tc>
          <w:tcPr>
            <w:tcW w:w="2955" w:type="dxa"/>
            <w:noWrap w:val="0"/>
            <w:tcMar>
              <w:top w:w="11" w:type="dxa"/>
              <w:left w:w="125" w:type="dxa"/>
              <w:right w:w="125"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积分声级计（包括防爆）</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8</w:t>
            </w:r>
          </w:p>
        </w:tc>
        <w:tc>
          <w:tcPr>
            <w:tcW w:w="2955" w:type="dxa"/>
            <w:noWrap w:val="0"/>
            <w:tcMar>
              <w:top w:w="11" w:type="dxa"/>
              <w:left w:w="125" w:type="dxa"/>
              <w:right w:w="125"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照度计</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9</w:t>
            </w:r>
          </w:p>
        </w:tc>
        <w:tc>
          <w:tcPr>
            <w:tcW w:w="2955" w:type="dxa"/>
            <w:noWrap w:val="0"/>
            <w:tcMar>
              <w:top w:w="11" w:type="dxa"/>
              <w:left w:w="125" w:type="dxa"/>
              <w:right w:w="125"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紫外线测定仪（含UVA,UVB,UVC</w:t>
            </w:r>
            <w:r>
              <w:rPr>
                <w:rFonts w:hint="eastAsia" w:ascii="仿宋_GB2312" w:hAnsi="仿宋_GB2312" w:cs="仿宋_GB2312"/>
                <w:color w:val="000000"/>
                <w:kern w:val="0"/>
                <w:sz w:val="21"/>
                <w:szCs w:val="21"/>
                <w:lang w:val="en-US" w:eastAsia="zh-CN" w:bidi="ar"/>
              </w:rPr>
              <w:t xml:space="preserve"> </w:t>
            </w:r>
            <w:r>
              <w:rPr>
                <w:rFonts w:hint="eastAsia" w:ascii="仿宋_GB2312" w:hAnsi="仿宋_GB2312" w:cs="仿宋_GB2312"/>
                <w:color w:val="000000"/>
                <w:kern w:val="0"/>
                <w:sz w:val="21"/>
                <w:szCs w:val="21"/>
                <w:lang w:bidi="ar"/>
              </w:rPr>
              <w:t>3个探头）</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527"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10</w:t>
            </w:r>
          </w:p>
        </w:tc>
        <w:tc>
          <w:tcPr>
            <w:tcW w:w="2955" w:type="dxa"/>
            <w:noWrap w:val="0"/>
            <w:tcMar>
              <w:top w:w="11" w:type="dxa"/>
              <w:left w:w="125" w:type="dxa"/>
              <w:right w:w="125"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不分光红外线分析仪（含CO和CO</w:t>
            </w:r>
            <w:r>
              <w:rPr>
                <w:rFonts w:hint="eastAsia" w:ascii="仿宋_GB2312" w:hAnsi="仿宋_GB2312" w:cs="仿宋_GB2312"/>
                <w:color w:val="000000"/>
                <w:kern w:val="0"/>
                <w:sz w:val="21"/>
                <w:szCs w:val="21"/>
                <w:vertAlign w:val="subscript"/>
                <w:lang w:bidi="ar"/>
              </w:rPr>
              <w:t>2</w:t>
            </w:r>
            <w:r>
              <w:rPr>
                <w:rFonts w:hint="eastAsia" w:ascii="仿宋_GB2312" w:hAnsi="仿宋_GB2312" w:cs="仿宋_GB2312"/>
                <w:color w:val="000000"/>
                <w:kern w:val="0"/>
                <w:sz w:val="21"/>
                <w:szCs w:val="21"/>
                <w:lang w:bidi="ar"/>
              </w:rPr>
              <w:t>）</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423"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11</w:t>
            </w:r>
          </w:p>
        </w:tc>
        <w:tc>
          <w:tcPr>
            <w:tcW w:w="2955" w:type="dxa"/>
            <w:noWrap w:val="0"/>
            <w:tcMar>
              <w:top w:w="11" w:type="dxa"/>
              <w:left w:w="125" w:type="dxa"/>
              <w:right w:w="125"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WBGT指数仪</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387"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12</w:t>
            </w:r>
          </w:p>
        </w:tc>
        <w:tc>
          <w:tcPr>
            <w:tcW w:w="2955" w:type="dxa"/>
            <w:noWrap w:val="0"/>
            <w:tcMar>
              <w:top w:w="11" w:type="dxa"/>
              <w:left w:w="125" w:type="dxa"/>
              <w:right w:w="125"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倍频程声级计</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420"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13</w:t>
            </w:r>
          </w:p>
        </w:tc>
        <w:tc>
          <w:tcPr>
            <w:tcW w:w="2955" w:type="dxa"/>
            <w:noWrap w:val="0"/>
            <w:tcMar>
              <w:top w:w="11" w:type="dxa"/>
              <w:left w:w="125" w:type="dxa"/>
              <w:right w:w="125"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手传振动测定仪</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1312"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14</w:t>
            </w:r>
          </w:p>
        </w:tc>
        <w:tc>
          <w:tcPr>
            <w:tcW w:w="2955" w:type="dxa"/>
            <w:noWrap w:val="0"/>
            <w:tcMar>
              <w:top w:w="11" w:type="dxa"/>
              <w:left w:w="125" w:type="dxa"/>
              <w:right w:w="125"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电磁场测定仪</w:t>
            </w:r>
          </w:p>
        </w:tc>
        <w:tc>
          <w:tcPr>
            <w:tcW w:w="1203" w:type="dxa"/>
            <w:noWrap w:val="0"/>
            <w:tcMar>
              <w:top w:w="10" w:type="dxa"/>
              <w:left w:w="10" w:type="dxa"/>
              <w:right w:w="10" w:type="dxa"/>
            </w:tcMar>
            <w:vAlign w:val="center"/>
          </w:tcPr>
          <w:p>
            <w:pPr>
              <w:widowControl/>
              <w:spacing w:line="280" w:lineRule="exact"/>
              <w:jc w:val="left"/>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1（探头含高频、超高频、1Hz-100kHz电磁场及微波等频段）</w:t>
            </w:r>
          </w:p>
        </w:tc>
        <w:tc>
          <w:tcPr>
            <w:tcW w:w="1163" w:type="dxa"/>
            <w:noWrap w:val="0"/>
            <w:tcMar>
              <w:top w:w="10" w:type="dxa"/>
              <w:left w:w="10" w:type="dxa"/>
              <w:right w:w="10" w:type="dxa"/>
            </w:tcMar>
            <w:vAlign w:val="center"/>
          </w:tcPr>
          <w:p>
            <w:pPr>
              <w:widowControl/>
              <w:spacing w:line="280" w:lineRule="exact"/>
              <w:jc w:val="left"/>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1（探头含高频、超高频、1Hz-100kHz电磁场及微波等频段）</w:t>
            </w:r>
          </w:p>
        </w:tc>
        <w:tc>
          <w:tcPr>
            <w:tcW w:w="3198"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也可为分别测量1Hz-100kHz电磁场、高频、超高频、微波的设备</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869"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15</w:t>
            </w:r>
          </w:p>
        </w:tc>
        <w:tc>
          <w:tcPr>
            <w:tcW w:w="2955" w:type="dxa"/>
            <w:noWrap w:val="0"/>
            <w:tcMar>
              <w:top w:w="11" w:type="dxa"/>
              <w:left w:w="125" w:type="dxa"/>
              <w:right w:w="125"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风速仪</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125"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16</w:t>
            </w:r>
          </w:p>
        </w:tc>
        <w:tc>
          <w:tcPr>
            <w:tcW w:w="2955" w:type="dxa"/>
            <w:noWrap w:val="0"/>
            <w:tcMar>
              <w:top w:w="11" w:type="dxa"/>
              <w:left w:w="125" w:type="dxa"/>
              <w:right w:w="125"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皮托管+微压计</w:t>
            </w:r>
          </w:p>
        </w:tc>
        <w:tc>
          <w:tcPr>
            <w:tcW w:w="120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可选用更先进的设备</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b/>
                <w:color w:val="000000"/>
                <w:sz w:val="21"/>
                <w:szCs w:val="21"/>
              </w:rPr>
            </w:pPr>
            <w:r>
              <w:rPr>
                <w:rFonts w:hint="eastAsia" w:ascii="仿宋_GB2312" w:hAnsi="仿宋_GB2312" w:cs="仿宋_GB2312"/>
                <w:b/>
                <w:color w:val="000000"/>
                <w:kern w:val="0"/>
                <w:sz w:val="21"/>
                <w:szCs w:val="21"/>
                <w:lang w:bidi="ar"/>
              </w:rPr>
              <w:t>（三）</w:t>
            </w:r>
          </w:p>
        </w:tc>
        <w:tc>
          <w:tcPr>
            <w:tcW w:w="8519" w:type="dxa"/>
            <w:gridSpan w:val="4"/>
            <w:noWrap w:val="0"/>
            <w:tcMar>
              <w:top w:w="11" w:type="dxa"/>
              <w:left w:w="125" w:type="dxa"/>
              <w:right w:w="125" w:type="dxa"/>
            </w:tcMar>
            <w:vAlign w:val="center"/>
          </w:tcPr>
          <w:p>
            <w:pPr>
              <w:spacing w:line="280" w:lineRule="exact"/>
              <w:jc w:val="left"/>
              <w:rPr>
                <w:rFonts w:hint="eastAsia" w:ascii="仿宋_GB2312" w:hAnsi="仿宋_GB2312" w:cs="仿宋_GB2312"/>
                <w:color w:val="000000"/>
                <w:sz w:val="21"/>
                <w:szCs w:val="21"/>
              </w:rPr>
            </w:pPr>
            <w:r>
              <w:rPr>
                <w:rFonts w:hint="eastAsia" w:ascii="仿宋_GB2312" w:hAnsi="仿宋_GB2312" w:cs="仿宋_GB2312"/>
                <w:b/>
                <w:color w:val="000000"/>
                <w:kern w:val="0"/>
                <w:sz w:val="21"/>
                <w:szCs w:val="21"/>
                <w:lang w:bidi="ar"/>
              </w:rPr>
              <w:t>实验室检测主要仪器设备</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98"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17</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气相色谱仪（配FID、ECD、FPD检测器）</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98"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18</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气相色谱-质谱联用仪</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sz w:val="21"/>
                <w:szCs w:val="21"/>
              </w:rPr>
              <w:t>/</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19</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液相色谱仪</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sz w:val="21"/>
                <w:szCs w:val="21"/>
              </w:rPr>
              <w:t>/</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13"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20</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离子色谱仪（阴离子体系）</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sz w:val="21"/>
                <w:szCs w:val="21"/>
              </w:rPr>
              <w:t>/</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sz w:val="22"/>
          <w:szCs w:val="20"/>
        </w:rP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
      <w:tblGrid>
        <w:gridCol w:w="869"/>
        <w:gridCol w:w="2955"/>
        <w:gridCol w:w="1203"/>
        <w:gridCol w:w="1163"/>
        <w:gridCol w:w="3198"/>
      </w:tblGrid>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21</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原子吸收光谱仪</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22</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原子荧光光谱仪</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r>
              <w:rPr>
                <w:rFonts w:hint="eastAsia" w:ascii="仿宋_GB2312" w:hAnsi="仿宋_GB2312" w:cs="仿宋_GB2312"/>
                <w:color w:val="000000"/>
                <w:sz w:val="21"/>
                <w:szCs w:val="21"/>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316" w:hRule="atLeast"/>
          <w:jc w:val="center"/>
        </w:trPr>
        <w:tc>
          <w:tcPr>
            <w:tcW w:w="869" w:type="dxa"/>
            <w:noWrap w:val="0"/>
            <w:tcMar>
              <w:top w:w="10" w:type="dxa"/>
              <w:left w:w="10" w:type="dxa"/>
              <w:right w:w="10" w:type="dxa"/>
            </w:tcMar>
            <w:vAlign w:val="center"/>
          </w:tcPr>
          <w:p>
            <w:pPr>
              <w:spacing w:line="280" w:lineRule="exact"/>
              <w:jc w:val="center"/>
              <w:rPr>
                <w:rFonts w:hint="eastAsia" w:ascii="仿宋_GB2312" w:hAnsi="仿宋_GB2312" w:cs="仿宋_GB2312"/>
                <w:sz w:val="21"/>
              </w:rPr>
            </w:pPr>
            <w:r>
              <w:rPr>
                <w:rFonts w:hint="eastAsia" w:ascii="仿宋_GB2312" w:hAnsi="仿宋_GB2312" w:cs="仿宋_GB2312"/>
                <w:sz w:val="21"/>
              </w:rPr>
              <w:t>23</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分析天平(1/10000)</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vMerge w:val="restart"/>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可二合一</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59"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24</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精密分析天平(1/100000)</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vMerge w:val="continue"/>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65"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25</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样品消化装置</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26</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马弗炉</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27</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铂金坩埚</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5</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3</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28</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普通坩埚</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5</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5</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29</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玛瑙研钵</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34"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30</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可见分光光度计</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vMerge w:val="restart"/>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可二合一</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10"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31</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kern w:val="0"/>
                <w:sz w:val="21"/>
                <w:szCs w:val="21"/>
                <w:lang w:bidi="ar"/>
              </w:rPr>
            </w:pPr>
            <w:r>
              <w:rPr>
                <w:rFonts w:hint="eastAsia" w:ascii="仿宋_GB2312" w:hAnsi="仿宋_GB2312" w:cs="仿宋_GB2312"/>
                <w:color w:val="000000"/>
                <w:kern w:val="0"/>
                <w:sz w:val="21"/>
                <w:szCs w:val="21"/>
                <w:lang w:bidi="ar"/>
              </w:rPr>
              <w:t>紫外分光光度计</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r>
              <w:rPr>
                <w:rFonts w:hint="eastAsia" w:ascii="仿宋_GB2312" w:hAnsi="仿宋_GB2312" w:cs="仿宋_GB2312"/>
                <w:color w:val="000000"/>
                <w:sz w:val="21"/>
                <w:szCs w:val="21"/>
              </w:rPr>
              <w:t>/</w:t>
            </w:r>
          </w:p>
        </w:tc>
        <w:tc>
          <w:tcPr>
            <w:tcW w:w="3198" w:type="dxa"/>
            <w:vMerge w:val="continue"/>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18"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32</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kern w:val="0"/>
                <w:sz w:val="21"/>
                <w:szCs w:val="21"/>
                <w:lang w:bidi="ar"/>
              </w:rPr>
            </w:pPr>
            <w:r>
              <w:rPr>
                <w:rFonts w:hint="eastAsia" w:ascii="仿宋_GB2312" w:hAnsi="仿宋_GB2312" w:cs="仿宋_GB2312"/>
                <w:color w:val="000000"/>
                <w:kern w:val="0"/>
                <w:sz w:val="21"/>
                <w:szCs w:val="21"/>
                <w:lang w:bidi="ar"/>
              </w:rPr>
              <w:t>冰箱</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33</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kern w:val="0"/>
                <w:sz w:val="21"/>
                <w:szCs w:val="21"/>
                <w:lang w:bidi="ar"/>
              </w:rPr>
            </w:pPr>
            <w:r>
              <w:rPr>
                <w:rFonts w:hint="eastAsia" w:ascii="仿宋_GB2312" w:hAnsi="仿宋_GB2312" w:cs="仿宋_GB2312"/>
                <w:color w:val="000000"/>
                <w:kern w:val="0"/>
                <w:sz w:val="21"/>
                <w:szCs w:val="21"/>
                <w:lang w:bidi="ar"/>
              </w:rPr>
              <w:t>热解吸仪</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sz w:val="21"/>
                <w:szCs w:val="21"/>
              </w:rPr>
              <w:t>/</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36"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34</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kern w:val="0"/>
                <w:sz w:val="21"/>
                <w:szCs w:val="21"/>
                <w:lang w:bidi="ar"/>
              </w:rPr>
            </w:pPr>
            <w:r>
              <w:rPr>
                <w:rFonts w:hint="eastAsia" w:ascii="仿宋_GB2312" w:hAnsi="仿宋_GB2312" w:cs="仿宋_GB2312"/>
                <w:color w:val="000000"/>
                <w:kern w:val="0"/>
                <w:sz w:val="21"/>
                <w:szCs w:val="21"/>
                <w:lang w:bidi="ar"/>
              </w:rPr>
              <w:t>超声波清洗器</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198" w:hRule="atLeast"/>
          <w:jc w:val="center"/>
        </w:trPr>
        <w:tc>
          <w:tcPr>
            <w:tcW w:w="869"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35</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kern w:val="0"/>
                <w:sz w:val="21"/>
                <w:szCs w:val="21"/>
                <w:lang w:bidi="ar"/>
              </w:rPr>
            </w:pPr>
            <w:r>
              <w:rPr>
                <w:rFonts w:hint="eastAsia" w:ascii="仿宋_GB2312" w:hAnsi="仿宋_GB2312" w:cs="仿宋_GB2312"/>
                <w:color w:val="000000"/>
                <w:kern w:val="0"/>
                <w:sz w:val="21"/>
                <w:szCs w:val="21"/>
                <w:lang w:bidi="ar"/>
              </w:rPr>
              <w:t>分散度测定器</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sz w:val="21"/>
                <w:szCs w:val="21"/>
              </w:rPr>
              <w:t>/</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tcW w:w="869"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36</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kern w:val="0"/>
                <w:sz w:val="21"/>
                <w:szCs w:val="21"/>
                <w:lang w:bidi="ar"/>
              </w:rPr>
            </w:pPr>
            <w:r>
              <w:rPr>
                <w:rFonts w:hint="eastAsia" w:ascii="仿宋_GB2312" w:hAnsi="仿宋_GB2312" w:cs="仿宋_GB2312"/>
                <w:color w:val="000000"/>
                <w:kern w:val="0"/>
                <w:sz w:val="21"/>
                <w:szCs w:val="21"/>
                <w:lang w:bidi="ar"/>
              </w:rPr>
              <w:t>恒温水浴箱</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869"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37</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kern w:val="0"/>
                <w:sz w:val="21"/>
                <w:szCs w:val="21"/>
                <w:lang w:bidi="ar"/>
              </w:rPr>
            </w:pPr>
            <w:r>
              <w:rPr>
                <w:rFonts w:hint="eastAsia" w:ascii="仿宋_GB2312" w:hAnsi="仿宋_GB2312" w:cs="仿宋_GB2312"/>
                <w:color w:val="000000"/>
                <w:kern w:val="0"/>
                <w:sz w:val="21"/>
                <w:szCs w:val="21"/>
                <w:lang w:bidi="ar"/>
              </w:rPr>
              <w:t>酸度计</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64" w:hRule="atLeast"/>
          <w:jc w:val="center"/>
        </w:trPr>
        <w:tc>
          <w:tcPr>
            <w:tcW w:w="869"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38</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kern w:val="0"/>
                <w:sz w:val="21"/>
                <w:szCs w:val="21"/>
                <w:lang w:bidi="ar"/>
              </w:rPr>
            </w:pPr>
            <w:r>
              <w:rPr>
                <w:rFonts w:hint="eastAsia" w:ascii="仿宋_GB2312" w:hAnsi="仿宋_GB2312" w:cs="仿宋_GB2312"/>
                <w:color w:val="000000"/>
                <w:kern w:val="0"/>
                <w:sz w:val="21"/>
                <w:szCs w:val="21"/>
                <w:lang w:bidi="ar"/>
              </w:rPr>
              <w:t>相差显微镜</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310" w:hRule="atLeast"/>
          <w:jc w:val="center"/>
        </w:trPr>
        <w:tc>
          <w:tcPr>
            <w:tcW w:w="9388" w:type="dxa"/>
            <w:gridSpan w:val="5"/>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b/>
                <w:color w:val="000000"/>
                <w:sz w:val="21"/>
                <w:szCs w:val="21"/>
              </w:rPr>
            </w:pPr>
            <w:r>
              <w:rPr>
                <w:rFonts w:hint="eastAsia" w:ascii="仿宋_GB2312" w:hAnsi="仿宋_GB2312" w:cs="仿宋_GB2312"/>
                <w:b/>
                <w:color w:val="000000"/>
                <w:kern w:val="0"/>
                <w:sz w:val="21"/>
                <w:szCs w:val="21"/>
                <w:lang w:eastAsia="zh-CN" w:bidi="ar"/>
              </w:rPr>
              <w:t>二</w:t>
            </w:r>
            <w:r>
              <w:rPr>
                <w:rFonts w:hint="eastAsia" w:ascii="仿宋_GB2312" w:hAnsi="仿宋_GB2312" w:cs="仿宋_GB2312"/>
                <w:b/>
                <w:color w:val="000000"/>
                <w:kern w:val="0"/>
                <w:sz w:val="21"/>
                <w:szCs w:val="21"/>
                <w:lang w:bidi="ar"/>
              </w:rPr>
              <w:t>、第</w:t>
            </w:r>
            <w:r>
              <w:rPr>
                <w:rFonts w:hint="eastAsia" w:ascii="仿宋_GB2312" w:hAnsi="仿宋_GB2312" w:cs="仿宋_GB2312"/>
                <w:b/>
                <w:color w:val="000000"/>
                <w:kern w:val="0"/>
                <w:sz w:val="21"/>
                <w:szCs w:val="21"/>
                <w:lang w:eastAsia="zh-CN" w:bidi="ar"/>
              </w:rPr>
              <w:t>二</w:t>
            </w:r>
            <w:r>
              <w:rPr>
                <w:rFonts w:hint="eastAsia" w:ascii="仿宋_GB2312" w:hAnsi="仿宋_GB2312" w:cs="仿宋_GB2312"/>
                <w:b/>
                <w:color w:val="000000"/>
                <w:kern w:val="0"/>
                <w:sz w:val="21"/>
                <w:szCs w:val="21"/>
                <w:lang w:bidi="ar"/>
              </w:rPr>
              <w:t>类业务范围</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310"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b/>
                <w:color w:val="000000"/>
                <w:sz w:val="21"/>
                <w:szCs w:val="21"/>
              </w:rPr>
            </w:pPr>
            <w:r>
              <w:rPr>
                <w:rFonts w:hint="eastAsia" w:ascii="仿宋_GB2312" w:hAnsi="仿宋_GB2312" w:cs="仿宋_GB2312"/>
                <w:b/>
                <w:color w:val="000000"/>
                <w:kern w:val="0"/>
                <w:sz w:val="21"/>
                <w:szCs w:val="21"/>
                <w:lang w:bidi="ar"/>
              </w:rPr>
              <w:t>(四)</w:t>
            </w:r>
          </w:p>
        </w:tc>
        <w:tc>
          <w:tcPr>
            <w:tcW w:w="8519" w:type="dxa"/>
            <w:gridSpan w:val="4"/>
            <w:noWrap w:val="0"/>
            <w:tcMar>
              <w:top w:w="10" w:type="dxa"/>
              <w:left w:w="113" w:type="dxa"/>
              <w:right w:w="113" w:type="dxa"/>
            </w:tcMar>
            <w:vAlign w:val="center"/>
          </w:tcPr>
          <w:p>
            <w:pPr>
              <w:spacing w:line="280" w:lineRule="exact"/>
              <w:jc w:val="left"/>
              <w:rPr>
                <w:rFonts w:hint="eastAsia" w:ascii="仿宋_GB2312" w:hAnsi="仿宋_GB2312" w:cs="仿宋_GB2312"/>
                <w:b/>
                <w:color w:val="000000"/>
                <w:sz w:val="21"/>
                <w:szCs w:val="21"/>
              </w:rPr>
            </w:pPr>
            <w:r>
              <w:rPr>
                <w:rFonts w:hint="eastAsia" w:ascii="仿宋_GB2312" w:hAnsi="仿宋_GB2312" w:cs="仿宋_GB2312"/>
                <w:b/>
                <w:color w:val="000000"/>
                <w:kern w:val="0"/>
                <w:sz w:val="21"/>
                <w:szCs w:val="21"/>
                <w:lang w:bidi="ar"/>
              </w:rPr>
              <w:t>放射卫生检测设备</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380"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39</w:t>
            </w:r>
          </w:p>
        </w:tc>
        <w:tc>
          <w:tcPr>
            <w:tcW w:w="2955" w:type="dxa"/>
            <w:noWrap w:val="0"/>
            <w:tcMar>
              <w:top w:w="10" w:type="dxa"/>
              <w:left w:w="113" w:type="dxa"/>
              <w:right w:w="113" w:type="dxa"/>
            </w:tcMar>
            <w:vAlign w:val="center"/>
          </w:tcPr>
          <w:p>
            <w:pPr>
              <w:widowControl/>
              <w:spacing w:line="280" w:lineRule="exact"/>
              <w:jc w:val="left"/>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防护级X、γ剂量率仪</w:t>
            </w:r>
          </w:p>
        </w:tc>
        <w:tc>
          <w:tcPr>
            <w:tcW w:w="120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w:t>
            </w:r>
          </w:p>
        </w:tc>
        <w:tc>
          <w:tcPr>
            <w:tcW w:w="116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89"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40</w:t>
            </w:r>
          </w:p>
        </w:tc>
        <w:tc>
          <w:tcPr>
            <w:tcW w:w="2955" w:type="dxa"/>
            <w:noWrap w:val="0"/>
            <w:tcMar>
              <w:top w:w="10" w:type="dxa"/>
              <w:left w:w="113" w:type="dxa"/>
              <w:right w:w="113" w:type="dxa"/>
            </w:tcMar>
            <w:vAlign w:val="center"/>
          </w:tcPr>
          <w:p>
            <w:pPr>
              <w:widowControl/>
              <w:spacing w:line="280" w:lineRule="exact"/>
              <w:jc w:val="left"/>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环境级X、γ剂量率仪</w:t>
            </w:r>
          </w:p>
        </w:tc>
        <w:tc>
          <w:tcPr>
            <w:tcW w:w="120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w:t>
            </w:r>
          </w:p>
        </w:tc>
        <w:tc>
          <w:tcPr>
            <w:tcW w:w="116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316"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41</w:t>
            </w:r>
          </w:p>
        </w:tc>
        <w:tc>
          <w:tcPr>
            <w:tcW w:w="2955" w:type="dxa"/>
            <w:noWrap w:val="0"/>
            <w:tcMar>
              <w:top w:w="10" w:type="dxa"/>
              <w:left w:w="113" w:type="dxa"/>
              <w:right w:w="113" w:type="dxa"/>
            </w:tcMar>
            <w:vAlign w:val="center"/>
          </w:tcPr>
          <w:p>
            <w:pPr>
              <w:widowControl/>
              <w:spacing w:line="280" w:lineRule="exact"/>
              <w:jc w:val="left"/>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α、β表面污染监测仪</w:t>
            </w:r>
          </w:p>
        </w:tc>
        <w:tc>
          <w:tcPr>
            <w:tcW w:w="120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w:t>
            </w:r>
          </w:p>
        </w:tc>
        <w:tc>
          <w:tcPr>
            <w:tcW w:w="116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155"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42</w:t>
            </w:r>
          </w:p>
        </w:tc>
        <w:tc>
          <w:tcPr>
            <w:tcW w:w="2955" w:type="dxa"/>
            <w:noWrap w:val="0"/>
            <w:tcMar>
              <w:top w:w="10" w:type="dxa"/>
              <w:left w:w="113" w:type="dxa"/>
              <w:right w:w="113" w:type="dxa"/>
            </w:tcMar>
            <w:vAlign w:val="center"/>
          </w:tcPr>
          <w:p>
            <w:pPr>
              <w:widowControl/>
              <w:spacing w:line="280" w:lineRule="exact"/>
              <w:jc w:val="left"/>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中子测量装置</w:t>
            </w:r>
          </w:p>
        </w:tc>
        <w:tc>
          <w:tcPr>
            <w:tcW w:w="120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307"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43</w:t>
            </w:r>
          </w:p>
        </w:tc>
        <w:tc>
          <w:tcPr>
            <w:tcW w:w="2955" w:type="dxa"/>
            <w:noWrap w:val="0"/>
            <w:tcMar>
              <w:top w:w="10" w:type="dxa"/>
              <w:left w:w="113" w:type="dxa"/>
              <w:right w:w="113" w:type="dxa"/>
            </w:tcMar>
            <w:vAlign w:val="center"/>
          </w:tcPr>
          <w:p>
            <w:pPr>
              <w:widowControl/>
              <w:spacing w:line="280" w:lineRule="exact"/>
              <w:jc w:val="left"/>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lang w:bidi="ar"/>
              </w:rPr>
              <w:t>氡及其子体测量装置</w:t>
            </w:r>
          </w:p>
        </w:tc>
        <w:tc>
          <w:tcPr>
            <w:tcW w:w="120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307"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44</w:t>
            </w:r>
          </w:p>
        </w:tc>
        <w:tc>
          <w:tcPr>
            <w:tcW w:w="2955" w:type="dxa"/>
            <w:noWrap w:val="0"/>
            <w:tcMar>
              <w:top w:w="10" w:type="dxa"/>
              <w:left w:w="113" w:type="dxa"/>
              <w:right w:w="113" w:type="dxa"/>
            </w:tcMar>
            <w:vAlign w:val="center"/>
          </w:tcPr>
          <w:p>
            <w:pPr>
              <w:widowControl/>
              <w:spacing w:line="280" w:lineRule="exact"/>
              <w:jc w:val="left"/>
              <w:textAlignment w:val="center"/>
              <w:rPr>
                <w:rFonts w:hint="eastAsia" w:ascii="仿宋_GB2312" w:hAnsi="仿宋_GB2312" w:cs="仿宋_GB2312"/>
                <w:color w:val="000000"/>
                <w:kern w:val="0"/>
                <w:sz w:val="21"/>
                <w:szCs w:val="21"/>
                <w:lang w:bidi="ar"/>
              </w:rPr>
            </w:pPr>
            <w:r>
              <w:rPr>
                <w:rFonts w:hint="eastAsia" w:ascii="仿宋_GB2312" w:hAnsi="仿宋_GB2312" w:cs="仿宋_GB2312"/>
                <w:color w:val="000000"/>
                <w:kern w:val="0"/>
                <w:sz w:val="21"/>
                <w:szCs w:val="21"/>
                <w:lang w:bidi="ar"/>
              </w:rPr>
              <w:t>空气采样装置</w:t>
            </w:r>
          </w:p>
        </w:tc>
        <w:tc>
          <w:tcPr>
            <w:tcW w:w="120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143"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45</w:t>
            </w:r>
          </w:p>
        </w:tc>
        <w:tc>
          <w:tcPr>
            <w:tcW w:w="2955" w:type="dxa"/>
            <w:noWrap w:val="0"/>
            <w:tcMar>
              <w:top w:w="10" w:type="dxa"/>
              <w:left w:w="113" w:type="dxa"/>
              <w:right w:w="113" w:type="dxa"/>
            </w:tcMar>
            <w:vAlign w:val="center"/>
          </w:tcPr>
          <w:p>
            <w:pPr>
              <w:widowControl/>
              <w:spacing w:line="280" w:lineRule="exact"/>
              <w:jc w:val="left"/>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实验室γ能谱仪</w:t>
            </w:r>
          </w:p>
        </w:tc>
        <w:tc>
          <w:tcPr>
            <w:tcW w:w="120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r>
              <w:rPr>
                <w:rFonts w:hint="eastAsia" w:ascii="仿宋_GB2312" w:hAnsi="仿宋_GB2312" w:cs="仿宋_GB2312"/>
                <w:color w:val="000000"/>
                <w:sz w:val="21"/>
                <w:szCs w:val="21"/>
              </w:rPr>
              <w:t>/</w:t>
            </w:r>
          </w:p>
        </w:tc>
        <w:tc>
          <w:tcPr>
            <w:tcW w:w="3198" w:type="dxa"/>
            <w:vMerge w:val="restart"/>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申请核设施业务范围的。</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03"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46</w:t>
            </w:r>
          </w:p>
        </w:tc>
        <w:tc>
          <w:tcPr>
            <w:tcW w:w="2955" w:type="dxa"/>
            <w:noWrap w:val="0"/>
            <w:tcMar>
              <w:top w:w="10" w:type="dxa"/>
              <w:left w:w="113" w:type="dxa"/>
              <w:right w:w="113" w:type="dxa"/>
            </w:tcMar>
            <w:vAlign w:val="center"/>
          </w:tcPr>
          <w:p>
            <w:pPr>
              <w:widowControl/>
              <w:spacing w:line="280" w:lineRule="exact"/>
              <w:jc w:val="left"/>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灰化装置</w:t>
            </w:r>
          </w:p>
        </w:tc>
        <w:tc>
          <w:tcPr>
            <w:tcW w:w="120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r>
              <w:rPr>
                <w:rFonts w:hint="eastAsia" w:ascii="仿宋_GB2312" w:hAnsi="仿宋_GB2312" w:cs="仿宋_GB2312"/>
                <w:color w:val="000000"/>
                <w:sz w:val="21"/>
                <w:szCs w:val="21"/>
              </w:rPr>
              <w:t>/</w:t>
            </w:r>
          </w:p>
        </w:tc>
        <w:tc>
          <w:tcPr>
            <w:tcW w:w="3198" w:type="dxa"/>
            <w:vMerge w:val="continue"/>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47</w:t>
            </w:r>
          </w:p>
        </w:tc>
        <w:tc>
          <w:tcPr>
            <w:tcW w:w="2955" w:type="dxa"/>
            <w:noWrap w:val="0"/>
            <w:tcMar>
              <w:top w:w="10" w:type="dxa"/>
              <w:left w:w="113" w:type="dxa"/>
              <w:right w:w="113" w:type="dxa"/>
            </w:tcMar>
            <w:vAlign w:val="center"/>
          </w:tcPr>
          <w:p>
            <w:pPr>
              <w:widowControl/>
              <w:spacing w:line="280" w:lineRule="exact"/>
              <w:jc w:val="left"/>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低本底α、β测量仪</w:t>
            </w:r>
          </w:p>
        </w:tc>
        <w:tc>
          <w:tcPr>
            <w:tcW w:w="120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r>
              <w:rPr>
                <w:rFonts w:hint="eastAsia" w:ascii="仿宋_GB2312" w:hAnsi="仿宋_GB2312" w:cs="仿宋_GB2312"/>
                <w:color w:val="000000"/>
                <w:sz w:val="21"/>
                <w:szCs w:val="21"/>
              </w:rPr>
              <w:t>/</w:t>
            </w:r>
          </w:p>
        </w:tc>
        <w:tc>
          <w:tcPr>
            <w:tcW w:w="3198" w:type="dxa"/>
            <w:vMerge w:val="continue"/>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48</w:t>
            </w:r>
          </w:p>
        </w:tc>
        <w:tc>
          <w:tcPr>
            <w:tcW w:w="2955" w:type="dxa"/>
            <w:noWrap w:val="0"/>
            <w:tcMar>
              <w:top w:w="10" w:type="dxa"/>
              <w:left w:w="113" w:type="dxa"/>
              <w:right w:w="113" w:type="dxa"/>
            </w:tcMar>
            <w:vAlign w:val="center"/>
          </w:tcPr>
          <w:p>
            <w:pPr>
              <w:widowControl/>
              <w:spacing w:line="280" w:lineRule="exact"/>
              <w:jc w:val="left"/>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固体径迹探测系统</w:t>
            </w:r>
          </w:p>
        </w:tc>
        <w:tc>
          <w:tcPr>
            <w:tcW w:w="1203"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r>
              <w:rPr>
                <w:rFonts w:hint="eastAsia" w:ascii="仿宋_GB2312" w:hAnsi="仿宋_GB2312" w:cs="仿宋_GB2312"/>
                <w:color w:val="000000"/>
                <w:sz w:val="21"/>
                <w:szCs w:val="21"/>
              </w:rPr>
              <w:t>/</w:t>
            </w:r>
          </w:p>
        </w:tc>
        <w:tc>
          <w:tcPr>
            <w:tcW w:w="1163"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r>
              <w:rPr>
                <w:rFonts w:hint="eastAsia" w:ascii="仿宋_GB2312" w:hAnsi="仿宋_GB2312" w:cs="仿宋_GB2312"/>
                <w:color w:val="000000"/>
                <w:sz w:val="21"/>
                <w:szCs w:val="21"/>
              </w:rPr>
              <w:t>/</w:t>
            </w:r>
          </w:p>
        </w:tc>
        <w:tc>
          <w:tcPr>
            <w:tcW w:w="3198" w:type="dxa"/>
            <w:vMerge w:val="continue"/>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37"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49</w:t>
            </w:r>
          </w:p>
        </w:tc>
        <w:tc>
          <w:tcPr>
            <w:tcW w:w="2955" w:type="dxa"/>
            <w:noWrap w:val="0"/>
            <w:tcMar>
              <w:top w:w="10" w:type="dxa"/>
              <w:left w:w="113" w:type="dxa"/>
              <w:right w:w="113" w:type="dxa"/>
            </w:tcMar>
            <w:vAlign w:val="center"/>
          </w:tcPr>
          <w:p>
            <w:pPr>
              <w:widowControl/>
              <w:spacing w:line="280" w:lineRule="exact"/>
              <w:jc w:val="left"/>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低本底α能谱仪</w:t>
            </w:r>
          </w:p>
        </w:tc>
        <w:tc>
          <w:tcPr>
            <w:tcW w:w="1203"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r>
              <w:rPr>
                <w:rFonts w:hint="eastAsia" w:ascii="仿宋_GB2312" w:hAnsi="仿宋_GB2312" w:cs="仿宋_GB2312"/>
                <w:color w:val="000000"/>
                <w:sz w:val="21"/>
                <w:szCs w:val="21"/>
              </w:rPr>
              <w:t>/</w:t>
            </w:r>
          </w:p>
        </w:tc>
        <w:tc>
          <w:tcPr>
            <w:tcW w:w="1163"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r>
              <w:rPr>
                <w:rFonts w:hint="eastAsia" w:ascii="仿宋_GB2312" w:hAnsi="仿宋_GB2312" w:cs="仿宋_GB2312"/>
                <w:color w:val="000000"/>
                <w:sz w:val="21"/>
                <w:szCs w:val="21"/>
              </w:rPr>
              <w:t>/</w:t>
            </w:r>
          </w:p>
        </w:tc>
        <w:tc>
          <w:tcPr>
            <w:tcW w:w="3198" w:type="dxa"/>
            <w:vMerge w:val="continue"/>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50</w:t>
            </w:r>
          </w:p>
        </w:tc>
        <w:tc>
          <w:tcPr>
            <w:tcW w:w="2955" w:type="dxa"/>
            <w:noWrap w:val="0"/>
            <w:tcMar>
              <w:top w:w="10" w:type="dxa"/>
              <w:left w:w="113" w:type="dxa"/>
              <w:right w:w="113" w:type="dxa"/>
            </w:tcMar>
            <w:vAlign w:val="center"/>
          </w:tcPr>
          <w:p>
            <w:pPr>
              <w:widowControl/>
              <w:spacing w:line="280" w:lineRule="exact"/>
              <w:jc w:val="left"/>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低本底液闪测量仪</w:t>
            </w:r>
          </w:p>
        </w:tc>
        <w:tc>
          <w:tcPr>
            <w:tcW w:w="1203"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r>
              <w:rPr>
                <w:rFonts w:hint="eastAsia" w:ascii="仿宋_GB2312" w:hAnsi="仿宋_GB2312" w:cs="仿宋_GB2312"/>
                <w:color w:val="000000"/>
                <w:sz w:val="21"/>
                <w:szCs w:val="21"/>
              </w:rPr>
              <w:t>/</w:t>
            </w:r>
          </w:p>
        </w:tc>
        <w:tc>
          <w:tcPr>
            <w:tcW w:w="1163"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r>
              <w:rPr>
                <w:rFonts w:hint="eastAsia" w:ascii="仿宋_GB2312" w:hAnsi="仿宋_GB2312" w:cs="仿宋_GB2312"/>
                <w:color w:val="000000"/>
                <w:sz w:val="21"/>
                <w:szCs w:val="21"/>
              </w:rPr>
              <w:t>/</w:t>
            </w:r>
          </w:p>
        </w:tc>
        <w:tc>
          <w:tcPr>
            <w:tcW w:w="3198" w:type="dxa"/>
            <w:vMerge w:val="continue"/>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bl>
    <w:p>
      <w:pPr>
        <w:adjustRightInd w:val="0"/>
        <w:snapToGrid w:val="0"/>
        <w:spacing w:line="260" w:lineRule="auto"/>
        <w:rPr>
          <w:rFonts w:hint="eastAsia" w:ascii="仿宋_GB2312" w:hAnsi="仿宋_GB2312" w:cs="仿宋_GB2312"/>
          <w:sz w:val="20"/>
          <w:szCs w:val="20"/>
        </w:rPr>
      </w:pPr>
      <w:r>
        <w:rPr>
          <w:rFonts w:hint="eastAsia" w:ascii="仿宋_GB2312" w:hAnsi="仿宋_GB2312" w:cs="仿宋_GB2312"/>
          <w:sz w:val="20"/>
          <w:szCs w:val="20"/>
        </w:rPr>
        <w:t>注：1.机构应根据实际工作需要配置干燥箱、压力计、温湿度计、离心机等辅助设备；</w:t>
      </w:r>
    </w:p>
    <w:p>
      <w:pPr>
        <w:adjustRightInd w:val="0"/>
        <w:snapToGrid w:val="0"/>
        <w:spacing w:line="260" w:lineRule="auto"/>
        <w:rPr>
          <w:rFonts w:hint="eastAsia" w:ascii="仿宋_GB2312" w:hAnsi="仿宋_GB2312" w:cs="仿宋_GB2312"/>
          <w:sz w:val="20"/>
          <w:szCs w:val="20"/>
        </w:rPr>
      </w:pPr>
      <w:r>
        <w:rPr>
          <w:rFonts w:hint="eastAsia" w:ascii="仿宋_GB2312" w:hAnsi="仿宋_GB2312" w:cs="仿宋_GB2312"/>
          <w:sz w:val="20"/>
          <w:szCs w:val="20"/>
        </w:rPr>
        <w:t xml:space="preserve">    2.标注“/”的设备不做要求，机构可根据实际需要配置。</w:t>
      </w:r>
    </w:p>
    <w:p>
      <w:pPr>
        <w:widowControl/>
        <w:jc w:val="left"/>
        <w:rPr>
          <w:rFonts w:ascii="黑体" w:hAnsi="黑体" w:eastAsia="黑体" w:cs="黑体"/>
          <w:szCs w:val="32"/>
          <w:shd w:val="clear" w:color="auto" w:fill="FFFFFF"/>
          <w:lang w:bidi="ar"/>
        </w:rPr>
      </w:pPr>
      <w:r>
        <w:rPr>
          <w:rFonts w:eastAsia="宋体"/>
          <w:sz w:val="20"/>
          <w:szCs w:val="20"/>
        </w:rPr>
        <w:br w:type="page"/>
      </w:r>
      <w:r>
        <w:rPr>
          <w:rFonts w:hint="eastAsia" w:ascii="黑体" w:hAnsi="黑体" w:eastAsia="黑体" w:cs="黑体"/>
          <w:szCs w:val="32"/>
          <w:shd w:val="clear" w:color="auto" w:fill="FFFFFF"/>
          <w:lang w:bidi="ar"/>
        </w:rPr>
        <w:t>附录4</w:t>
      </w:r>
    </w:p>
    <w:p>
      <w:pPr>
        <w:jc w:val="center"/>
        <w:rPr>
          <w:rFonts w:hint="eastAsia" w:ascii="华文中宋" w:hAnsi="华文中宋" w:eastAsia="华文中宋"/>
          <w:b/>
          <w:sz w:val="36"/>
          <w:szCs w:val="36"/>
        </w:rPr>
      </w:pPr>
      <w:r>
        <w:rPr>
          <w:rFonts w:hint="eastAsia" w:ascii="华文中宋" w:hAnsi="华文中宋" w:eastAsia="华文中宋"/>
          <w:b/>
          <w:sz w:val="36"/>
          <w:szCs w:val="36"/>
        </w:rPr>
        <w:t>第一类业务范围检测项目表</w:t>
      </w:r>
    </w:p>
    <w:tbl>
      <w:tblPr>
        <w:tblStyle w:val="11"/>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507"/>
        <w:gridCol w:w="3762"/>
        <w:gridCol w:w="713"/>
        <w:gridCol w:w="998"/>
        <w:gridCol w:w="713"/>
        <w:gridCol w:w="1426"/>
        <w:gridCol w:w="10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07" w:type="dxa"/>
            <w:vMerge w:val="restart"/>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项目</w:t>
            </w:r>
          </w:p>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编号</w:t>
            </w:r>
          </w:p>
        </w:tc>
        <w:tc>
          <w:tcPr>
            <w:tcW w:w="3762" w:type="dxa"/>
            <w:vMerge w:val="restart"/>
            <w:noWrap w:val="0"/>
            <w:tcMar>
              <w:top w:w="15" w:type="dxa"/>
              <w:left w:w="113" w:type="dxa"/>
              <w:right w:w="28"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检  测  项  目</w:t>
            </w:r>
          </w:p>
        </w:tc>
        <w:tc>
          <w:tcPr>
            <w:tcW w:w="3850" w:type="dxa"/>
            <w:gridSpan w:val="4"/>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条  件  要  求</w:t>
            </w:r>
          </w:p>
        </w:tc>
        <w:tc>
          <w:tcPr>
            <w:tcW w:w="1051"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备  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63" w:hRule="atLeast"/>
          <w:jc w:val="center"/>
        </w:trPr>
        <w:tc>
          <w:tcPr>
            <w:tcW w:w="507" w:type="dxa"/>
            <w:vMerge w:val="continue"/>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p>
        </w:tc>
        <w:tc>
          <w:tcPr>
            <w:tcW w:w="3762" w:type="dxa"/>
            <w:vMerge w:val="continue"/>
            <w:noWrap w:val="0"/>
            <w:tcMar>
              <w:top w:w="15" w:type="dxa"/>
              <w:left w:w="113" w:type="dxa"/>
              <w:right w:w="28" w:type="dxa"/>
            </w:tcMar>
            <w:vAlign w:val="center"/>
          </w:tcPr>
          <w:p>
            <w:pPr>
              <w:spacing w:line="300" w:lineRule="exact"/>
              <w:jc w:val="left"/>
              <w:rPr>
                <w:rFonts w:hint="eastAsia" w:ascii="仿宋_GB2312" w:hAnsi="仿宋_GB2312" w:cs="仿宋_GB2312"/>
                <w:bCs/>
                <w:sz w:val="21"/>
                <w:szCs w:val="21"/>
              </w:rPr>
            </w:pP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采矿业</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化工、石化及医药</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冶金</w:t>
            </w:r>
          </w:p>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、建材</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机械制造、电力、纺织、建筑和交通运输等行业领域</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一</w:t>
            </w:r>
          </w:p>
        </w:tc>
        <w:tc>
          <w:tcPr>
            <w:tcW w:w="8663" w:type="dxa"/>
            <w:gridSpan w:val="6"/>
            <w:noWrap w:val="0"/>
            <w:tcMar>
              <w:top w:w="15" w:type="dxa"/>
              <w:left w:w="113" w:type="dxa"/>
              <w:right w:w="28" w:type="dxa"/>
            </w:tcMar>
            <w:vAlign w:val="center"/>
          </w:tcPr>
          <w:p>
            <w:pPr>
              <w:spacing w:line="300" w:lineRule="exact"/>
              <w:jc w:val="left"/>
              <w:rPr>
                <w:rFonts w:hint="eastAsia" w:ascii="仿宋_GB2312" w:hAnsi="仿宋_GB2312" w:cs="仿宋_GB2312"/>
                <w:bCs/>
                <w:sz w:val="21"/>
                <w:szCs w:val="21"/>
              </w:rPr>
            </w:pPr>
            <w:r>
              <w:rPr>
                <w:rFonts w:hint="eastAsia" w:ascii="仿宋_GB2312" w:hAnsi="仿宋_GB2312" w:cs="仿宋_GB2312"/>
                <w:bCs/>
                <w:kern w:val="0"/>
                <w:sz w:val="21"/>
                <w:szCs w:val="21"/>
              </w:rPr>
              <w:t>化学有害因素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安妥</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氨</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2-氨基吡啶</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氨基磺酸铵</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氨基氰</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奥克托今</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巴豆醛（丁烯醛）</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百草枯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百菌清</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钡及其可溶性化合物（按Ba计）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倍硫磷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苯胺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苯基醚（二苯醚）</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苯醌</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苯硫磷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苯乙烯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吡啶</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苄基氯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丙酸</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丙酮</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丙酮氰醇（按CN计）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丙烯醇</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丙烯腈</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丙烯菊酯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丙烯醛</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丙烯酸</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丙烯酸甲酯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丙烯酸正丁酯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丙烯酰胺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草甘膦</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草酸</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抽余油（60℃</w:t>
            </w:r>
            <w:r>
              <w:rPr>
                <w:rFonts w:hint="eastAsia" w:ascii="微软雅黑" w:hAnsi="微软雅黑" w:eastAsia="微软雅黑" w:cs="微软雅黑"/>
                <w:bCs/>
                <w:kern w:val="0"/>
                <w:sz w:val="21"/>
                <w:szCs w:val="21"/>
              </w:rPr>
              <w:t>〜</w:t>
            </w:r>
            <w:r>
              <w:rPr>
                <w:rFonts w:hint="eastAsia" w:ascii="仿宋_GB2312" w:hAnsi="仿宋_GB2312" w:cs="仿宋_GB2312"/>
                <w:bCs/>
                <w:kern w:val="0"/>
                <w:sz w:val="21"/>
                <w:szCs w:val="21"/>
              </w:rPr>
              <w:t>220℃）</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重氮甲烷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臭氧</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25"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o,o-二甲基-S-（甲基氨基甲酰甲基）二硫代磷酸酯（乐果）</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25"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lang w:val="en-US" w:eastAsia="zh-CN"/>
              </w:rPr>
              <w:t>o</w:t>
            </w:r>
            <w:r>
              <w:rPr>
                <w:rFonts w:hint="eastAsia" w:ascii="仿宋_GB2312" w:hAnsi="仿宋_GB2312" w:cs="仿宋_GB2312"/>
                <w:bCs/>
                <w:kern w:val="0"/>
                <w:sz w:val="21"/>
                <w:szCs w:val="21"/>
              </w:rPr>
              <w:t>,</w:t>
            </w:r>
            <w:r>
              <w:rPr>
                <w:rFonts w:hint="eastAsia" w:ascii="仿宋_GB2312" w:hAnsi="仿宋_GB2312" w:cs="仿宋_GB2312"/>
                <w:bCs/>
                <w:kern w:val="0"/>
                <w:sz w:val="21"/>
                <w:szCs w:val="21"/>
                <w:lang w:val="en-US" w:eastAsia="zh-CN"/>
              </w:rPr>
              <w:t>o</w:t>
            </w:r>
            <w:r>
              <w:rPr>
                <w:rFonts w:hint="eastAsia" w:ascii="仿宋_GB2312" w:hAnsi="仿宋_GB2312" w:cs="仿宋_GB2312"/>
                <w:bCs/>
                <w:kern w:val="0"/>
                <w:sz w:val="21"/>
                <w:szCs w:val="21"/>
              </w:rPr>
              <w:t>-二甲基-（2,2,2-三氯-1-羟基乙基）磷酸酯（敌百虫）</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25"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N-3,4-二氯苯基-N`,N`-二甲基脲（敌草隆）</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2,4-二氯苯氧基乙酸（2,4-滴）</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40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sz w:val="21"/>
              </w:rPr>
              <w:fldChar w:fldCharType="begin"/>
            </w:r>
            <w:r>
              <w:rPr>
                <w:rFonts w:hint="eastAsia" w:ascii="仿宋_GB2312" w:hAnsi="仿宋_GB2312" w:cs="仿宋_GB2312"/>
                <w:sz w:val="21"/>
              </w:rPr>
              <w:instrText xml:space="preserve"> HYPERLINK "http://www.bing.com/knows/search?q=%E5%8F%8C%E5%AF%B9%E6%B0%AF%E8%8B%AF%E5%9F%BA%E4%B8%89%E6%B0%AF%E4%B9%99%E7%83%B7&amp;mkt=zh-cn&amp;mkt=zh-cn&amp;form=BKACAI" \o "http://www.bing.com/knows/search?q=%E5%8F%8C%E5%AF%B9%E6%B0%AF%E8%8B%AF%E5%9F%BA%E4%B8%89%E6%B0%AF%E4%B9%99%E7%83%B7&amp;mkt=zh-cn&amp;mkt=zh-cn&amp;form=BKACAI" </w:instrText>
            </w:r>
            <w:r>
              <w:rPr>
                <w:rFonts w:hint="eastAsia" w:ascii="仿宋_GB2312" w:hAnsi="仿宋_GB2312" w:cs="仿宋_GB2312"/>
                <w:sz w:val="21"/>
              </w:rPr>
              <w:fldChar w:fldCharType="separate"/>
            </w:r>
            <w:r>
              <w:rPr>
                <w:rFonts w:hint="eastAsia" w:ascii="仿宋_GB2312" w:hAnsi="仿宋_GB2312" w:cs="仿宋_GB2312"/>
                <w:bCs/>
                <w:kern w:val="0"/>
                <w:sz w:val="21"/>
                <w:szCs w:val="21"/>
              </w:rPr>
              <w:t>二氯二苯基三氯乙烷（滴滴涕，DDT）</w:t>
            </w:r>
            <w:r>
              <w:rPr>
                <w:rFonts w:hint="eastAsia" w:ascii="仿宋_GB2312" w:hAnsi="仿宋_GB2312" w:cs="仿宋_GB2312"/>
                <w:bCs/>
                <w:kern w:val="0"/>
                <w:sz w:val="21"/>
                <w:szCs w:val="21"/>
              </w:rPr>
              <w:fldChar w:fldCharType="end"/>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4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41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碲及其化合物（不含碲化氢）（按Te计）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42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碲化铋（按Bi</w:t>
            </w:r>
            <w:r>
              <w:rPr>
                <w:rFonts w:hint="eastAsia" w:ascii="仿宋_GB2312" w:hAnsi="仿宋_GB2312" w:cs="仿宋_GB2312"/>
                <w:bCs/>
                <w:kern w:val="0"/>
                <w:sz w:val="21"/>
                <w:szCs w:val="21"/>
                <w:vertAlign w:val="subscript"/>
              </w:rPr>
              <w:t>2</w:t>
            </w:r>
            <w:r>
              <w:rPr>
                <w:rFonts w:hint="eastAsia" w:ascii="仿宋_GB2312" w:hAnsi="仿宋_GB2312" w:cs="仿宋_GB2312"/>
                <w:bCs/>
                <w:kern w:val="0"/>
                <w:sz w:val="21"/>
                <w:szCs w:val="21"/>
              </w:rPr>
              <w:t>Te</w:t>
            </w:r>
            <w:r>
              <w:rPr>
                <w:rFonts w:hint="eastAsia" w:ascii="仿宋_GB2312" w:hAnsi="仿宋_GB2312" w:cs="仿宋_GB2312"/>
                <w:bCs/>
                <w:kern w:val="0"/>
                <w:sz w:val="21"/>
                <w:szCs w:val="21"/>
                <w:vertAlign w:val="subscript"/>
              </w:rPr>
              <w:t>3</w:t>
            </w:r>
            <w:r>
              <w:rPr>
                <w:rFonts w:hint="eastAsia" w:ascii="仿宋_GB2312" w:hAnsi="仿宋_GB2312" w:cs="仿宋_GB2312"/>
                <w:bCs/>
                <w:kern w:val="0"/>
                <w:sz w:val="21"/>
                <w:szCs w:val="21"/>
              </w:rPr>
              <w:t>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43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碘</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44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碘仿</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45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碘甲烷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46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叠氮酸蒸气</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47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叠氮化钠</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48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1,3-丁二烯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49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2-丁氧基乙醇</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50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丁烯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51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毒死蜱</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52</w:t>
            </w:r>
          </w:p>
        </w:tc>
        <w:tc>
          <w:tcPr>
            <w:tcW w:w="3762" w:type="dxa"/>
            <w:noWrap w:val="0"/>
            <w:tcMar>
              <w:top w:w="15" w:type="dxa"/>
              <w:left w:w="113" w:type="dxa"/>
              <w:right w:w="28" w:type="dxa"/>
            </w:tcMar>
            <w:vAlign w:val="center"/>
          </w:tcPr>
          <w:p>
            <w:pPr>
              <w:widowControl/>
              <w:spacing w:line="300" w:lineRule="exact"/>
              <w:jc w:val="left"/>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对苯二胺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53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对苯二甲酸</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54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对二氯苯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55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对硫磷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56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对特丁基甲苯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57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对硝基苯胺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58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对硝基氯苯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59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多次甲基多苯基多异氰酸酯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60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二苯胺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61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二苯基甲烷二异氰酸酯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62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二丙二醇甲醚（2-甲氧基甲乙氧基丙醇）</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63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二丙酮醇</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64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2-N-二丁氨基乙醇</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65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二噁烷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66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二噁英类化合物</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67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二氟氯甲烷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68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二甲胺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69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二甲苯（全部异构体）</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70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N,N-二甲基苯胺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bl>
    <w:p/>
    <w:tbl>
      <w:tblPr>
        <w:tblStyle w:val="11"/>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507"/>
        <w:gridCol w:w="3762"/>
        <w:gridCol w:w="713"/>
        <w:gridCol w:w="998"/>
        <w:gridCol w:w="713"/>
        <w:gridCol w:w="1426"/>
        <w:gridCol w:w="10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27"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71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1,3-二甲基丁基乙酸酯（仲-乙酸己酯）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72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二甲基二氯硅烷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73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N,N-二甲基甲酰胺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33"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74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3,3-二甲基联苯胺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75</w:t>
            </w:r>
          </w:p>
        </w:tc>
        <w:tc>
          <w:tcPr>
            <w:tcW w:w="3762" w:type="dxa"/>
            <w:noWrap w:val="0"/>
            <w:tcMar>
              <w:top w:w="15" w:type="dxa"/>
              <w:left w:w="113" w:type="dxa"/>
              <w:right w:w="28" w:type="dxa"/>
            </w:tcMar>
            <w:vAlign w:val="center"/>
          </w:tcPr>
          <w:p>
            <w:pPr>
              <w:widowControl/>
              <w:spacing w:line="300" w:lineRule="exact"/>
              <w:jc w:val="left"/>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二甲基亚砜</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76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N,N-二甲基乙酰胺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77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二甲氧基甲烷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78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二聚环戊二烯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79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二硫化碳</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80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1,1-二氯-1-硝基乙烷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81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1,3-二氯丙醇</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82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1,2-二氯丙烷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83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1,3-二氯丙烯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84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二氯二氟甲烷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85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二氯甲烷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86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二氯乙炔</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87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1,2-二氯乙烷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88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1,2-二氯乙烯（全部异构体）</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89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二硼烷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90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二缩水甘油醚</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91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二硝基苯（全部异构体）</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92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二硝基甲苯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93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4,6-二硝基邻甲酚</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94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2,4-二硝基氯苯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95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氮氧化物（一氧化氮和二氧化氮）</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96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二氧化硫</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97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二氧化氯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98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二氧化碳</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99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二氧化锡（按Sn计）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100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2-二乙氨基乙醇</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101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二乙烯三胺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102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二乙基甲酮</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103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二乙烯基苯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104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二异丁基甲酮</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105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甲苯-2,4-二异氰酸酯（TDI）</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106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二月桂酸二丁基锡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107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钒及其化合物（按V计）</w:t>
            </w:r>
          </w:p>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五氧化二钒烟尘</w:t>
            </w:r>
          </w:p>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钒铁合金尘</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108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酚</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109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呋喃</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110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氟化氢（按F计）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111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氟及其化合物（不含氟化氢）（按F计）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112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锆及其化合物（按Zr计）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113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镉及其化合物（按Cd计）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114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汞-金属汞（蒸气）</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115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汞-有机汞化合物（按Hg计）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116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钴及其化合物（按Co计）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117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过氧化苯甲酰</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118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过氧化甲乙酮</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119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过氧化氢</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120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环己胺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121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环己醇</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122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环己酮</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123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环己烷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124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环三次甲基三硝胺（黑索金）</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125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环氧丙烷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126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环氧氯丙烷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127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环氧乙烷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128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黄磷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07"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129</w:t>
            </w:r>
          </w:p>
        </w:tc>
        <w:tc>
          <w:tcPr>
            <w:tcW w:w="3762" w:type="dxa"/>
            <w:noWrap w:val="0"/>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邻-茴香胺</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对-茴香胺</w:t>
            </w:r>
          </w:p>
        </w:tc>
        <w:tc>
          <w:tcPr>
            <w:tcW w:w="713"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130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己二醇</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131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1,6-己二异氰酸酯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132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己内酰胺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133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2-己酮（甲基正丁基甲酮）</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134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一甲胺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135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甲拌磷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136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甲苯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07"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137</w:t>
            </w:r>
          </w:p>
        </w:tc>
        <w:tc>
          <w:tcPr>
            <w:tcW w:w="3762" w:type="dxa"/>
            <w:noWrap w:val="0"/>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N-甲苯胺</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o-甲苯胺</w:t>
            </w:r>
          </w:p>
        </w:tc>
        <w:tc>
          <w:tcPr>
            <w:tcW w:w="713"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138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甲醇</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139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甲酚（全部异构体）</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140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甲基丙烯腈</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141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甲基丙烯酸</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142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甲基丙烯酸甲酯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143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甲基丙烯酸缩水甘油酯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tabs>
                <w:tab w:val="center" w:pos="4153"/>
                <w:tab w:val="right" w:pos="8306"/>
              </w:tabs>
              <w:snapToGrid w:val="0"/>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144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甲基肼</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tabs>
                <w:tab w:val="center" w:pos="4153"/>
                <w:tab w:val="right" w:pos="8306"/>
              </w:tabs>
              <w:snapToGrid w:val="0"/>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145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甲基内吸磷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146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18-甲基炔诺酮（炔诺孕酮）</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147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甲基叔丁基醚</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148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甲硫醇</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149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甲醛</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tabs>
                <w:tab w:val="center" w:pos="4153"/>
                <w:tab w:val="right" w:pos="8306"/>
              </w:tabs>
              <w:snapToGrid w:val="0"/>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150</w:t>
            </w:r>
          </w:p>
        </w:tc>
        <w:tc>
          <w:tcPr>
            <w:tcW w:w="3762" w:type="dxa"/>
            <w:noWrap w:val="0"/>
            <w:tcMar>
              <w:top w:w="15" w:type="dxa"/>
              <w:left w:w="113" w:type="dxa"/>
              <w:right w:w="28" w:type="dxa"/>
            </w:tcMar>
            <w:vAlign w:val="center"/>
          </w:tcPr>
          <w:p>
            <w:pPr>
              <w:widowControl/>
              <w:tabs>
                <w:tab w:val="center" w:pos="4153"/>
                <w:tab w:val="right" w:pos="8306"/>
              </w:tabs>
              <w:snapToGrid w:val="0"/>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甲酸</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151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甲乙酮（2-丁酮）</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97"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152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2-甲氧基乙醇</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153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2-甲氧基乙基乙酸酯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154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甲氧氯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155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间苯二酚</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156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焦炉逸散物（按苯溶物计）</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157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肼</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158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久效磷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159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糠醇</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160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糠醛</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161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考的松</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162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苦味酸（2,4,6-三硝基苯酚）</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163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癸硼烷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164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联苯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165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邻苯二甲酸二丁酯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166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邻苯二甲酸酐</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167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邻二氯苯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top"/>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top"/>
          </w:tcPr>
          <w:p>
            <w:pPr>
              <w:spacing w:line="300" w:lineRule="exact"/>
              <w:jc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426" w:type="dxa"/>
            <w:noWrap w:val="0"/>
            <w:tcMar>
              <w:top w:w="15" w:type="dxa"/>
              <w:left w:w="15" w:type="dxa"/>
              <w:right w:w="15" w:type="dxa"/>
            </w:tcMar>
            <w:vAlign w:val="top"/>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168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邻氯苯乙烯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169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邻氯苄叉丙二腈</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170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邻仲丁基苯酚</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171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磷胺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172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磷化氢</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173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磷酸</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174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磷酸二丁基苯酯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175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硫化氢</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176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硫酸钡（按Ba计）</w:t>
            </w:r>
          </w:p>
        </w:tc>
        <w:tc>
          <w:tcPr>
            <w:tcW w:w="713" w:type="dxa"/>
            <w:noWrap w:val="0"/>
            <w:tcMar>
              <w:top w:w="15" w:type="dxa"/>
              <w:left w:w="15" w:type="dxa"/>
              <w:right w:w="15" w:type="dxa"/>
            </w:tcMar>
            <w:vAlign w:val="top"/>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top"/>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top"/>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426" w:type="dxa"/>
            <w:noWrap w:val="0"/>
            <w:tcMar>
              <w:top w:w="15" w:type="dxa"/>
              <w:left w:w="15" w:type="dxa"/>
              <w:right w:w="15" w:type="dxa"/>
            </w:tcMar>
            <w:vAlign w:val="top"/>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177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硫酸二甲酯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178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硫酸及三氧化硫</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179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硫酰氟</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180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六氟丙酮</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181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六氟丙烯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182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六氟化硫</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183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六六六（六氯环己烷）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184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i/>
                <w:kern w:val="0"/>
                <w:sz w:val="21"/>
                <w:szCs w:val="21"/>
              </w:rPr>
              <w:t>γ</w:t>
            </w:r>
            <w:r>
              <w:rPr>
                <w:rFonts w:hint="eastAsia" w:ascii="仿宋_GB2312" w:hAnsi="仿宋_GB2312" w:cs="仿宋_GB2312"/>
                <w:bCs/>
                <w:kern w:val="0"/>
                <w:sz w:val="21"/>
                <w:szCs w:val="21"/>
              </w:rPr>
              <w:t>-六六六（</w:t>
            </w:r>
            <w:r>
              <w:rPr>
                <w:rFonts w:hint="eastAsia" w:ascii="仿宋_GB2312" w:hAnsi="仿宋_GB2312" w:cs="仿宋_GB2312"/>
                <w:bCs/>
                <w:i/>
                <w:kern w:val="0"/>
                <w:sz w:val="21"/>
                <w:szCs w:val="21"/>
              </w:rPr>
              <w:t>γ</w:t>
            </w:r>
            <w:r>
              <w:rPr>
                <w:rFonts w:hint="eastAsia" w:ascii="仿宋_GB2312" w:hAnsi="仿宋_GB2312" w:cs="仿宋_GB2312"/>
                <w:bCs/>
                <w:kern w:val="0"/>
                <w:sz w:val="21"/>
                <w:szCs w:val="21"/>
              </w:rPr>
              <w:t>-六氯环己烷）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185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六氯丁二烯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186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六氯环戊二烯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187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六氯萘</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188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六氯乙烷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189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190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氯苯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191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氯丙酮</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192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氯丙烯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193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β-氯丁二烯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194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氯化铵烟</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195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氯化汞（升汞）</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196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氯化苦</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tabs>
                <w:tab w:val="center" w:pos="4153"/>
                <w:tab w:val="right" w:pos="8306"/>
              </w:tabs>
              <w:snapToGrid w:val="0"/>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197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氯化氢及盐酸</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198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氯化氰</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199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氯化锌烟</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200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氯甲醚</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201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氯甲烷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202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氯联苯（54%氯）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203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氯萘</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204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氯乙醇</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tabs>
                <w:tab w:val="center" w:pos="4153"/>
                <w:tab w:val="right" w:pos="8306"/>
              </w:tabs>
              <w:snapToGrid w:val="0"/>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205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氯乙醛</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tabs>
                <w:tab w:val="center" w:pos="4153"/>
                <w:tab w:val="right" w:pos="8306"/>
              </w:tabs>
              <w:snapToGrid w:val="0"/>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206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氯乙酸</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tabs>
                <w:tab w:val="center" w:pos="4153"/>
                <w:tab w:val="right" w:pos="8306"/>
              </w:tabs>
              <w:snapToGrid w:val="0"/>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207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氯乙烯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208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default" w:ascii="Arial" w:hAnsi="Arial" w:cs="Arial"/>
                <w:bCs/>
                <w:kern w:val="0"/>
                <w:sz w:val="21"/>
                <w:szCs w:val="21"/>
              </w:rPr>
              <w:t>α</w:t>
            </w:r>
            <w:r>
              <w:rPr>
                <w:rFonts w:hint="eastAsia" w:ascii="仿宋_GB2312" w:hAnsi="仿宋_GB2312" w:cs="仿宋_GB2312"/>
                <w:bCs/>
                <w:kern w:val="0"/>
                <w:sz w:val="21"/>
                <w:szCs w:val="21"/>
              </w:rPr>
              <w:t>-氯乙酰苯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209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氯乙酰氯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210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马拉硫磷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211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马来酸酐</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212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吗啉</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213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煤焦油沥青挥发物（按苯溶物计）</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214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锰及其无机化合物（按Mn</w:t>
            </w:r>
            <w:r>
              <w:rPr>
                <w:rFonts w:hint="default" w:ascii="仿宋_GB2312" w:hAnsi="仿宋_GB2312" w:cs="仿宋_GB2312"/>
                <w:bCs/>
                <w:kern w:val="0"/>
                <w:sz w:val="21"/>
                <w:szCs w:val="21"/>
                <w:lang w:val="en-US"/>
              </w:rPr>
              <w:t>O</w:t>
            </w:r>
            <w:r>
              <w:rPr>
                <w:rFonts w:hint="eastAsia" w:ascii="仿宋_GB2312" w:hAnsi="仿宋_GB2312" w:cs="仿宋_GB2312"/>
                <w:bCs/>
                <w:kern w:val="0"/>
                <w:sz w:val="21"/>
                <w:szCs w:val="21"/>
                <w:vertAlign w:val="subscript"/>
              </w:rPr>
              <w:t>2</w:t>
            </w:r>
            <w:r>
              <w:rPr>
                <w:rFonts w:hint="eastAsia" w:ascii="仿宋_GB2312" w:hAnsi="仿宋_GB2312" w:cs="仿宋_GB2312"/>
                <w:bCs/>
                <w:kern w:val="0"/>
                <w:sz w:val="21"/>
                <w:szCs w:val="21"/>
              </w:rPr>
              <w:t>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215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钼及其化合物（按Mo计）</w:t>
            </w:r>
            <w:r>
              <w:rPr>
                <w:rFonts w:hint="eastAsia" w:ascii="仿宋_GB2312" w:hAnsi="仿宋_GB2312" w:cs="仿宋_GB2312"/>
                <w:bCs/>
                <w:kern w:val="0"/>
                <w:sz w:val="21"/>
                <w:szCs w:val="21"/>
              </w:rPr>
              <w:br w:type="textWrapping"/>
            </w:r>
            <w:r>
              <w:rPr>
                <w:rFonts w:hint="eastAsia" w:ascii="仿宋_GB2312" w:hAnsi="仿宋_GB2312" w:cs="仿宋_GB2312"/>
                <w:bCs/>
                <w:kern w:val="0"/>
                <w:sz w:val="21"/>
                <w:szCs w:val="21"/>
              </w:rPr>
              <w:t>钼，不溶性化合物</w:t>
            </w:r>
            <w:r>
              <w:rPr>
                <w:rFonts w:hint="eastAsia" w:ascii="仿宋_GB2312" w:hAnsi="仿宋_GB2312" w:cs="仿宋_GB2312"/>
                <w:bCs/>
                <w:kern w:val="0"/>
                <w:sz w:val="21"/>
                <w:szCs w:val="21"/>
              </w:rPr>
              <w:br w:type="textWrapping"/>
            </w:r>
            <w:r>
              <w:rPr>
                <w:rFonts w:hint="eastAsia" w:ascii="仿宋_GB2312" w:hAnsi="仿宋_GB2312" w:cs="仿宋_GB2312"/>
                <w:bCs/>
                <w:kern w:val="0"/>
                <w:sz w:val="21"/>
                <w:szCs w:val="21"/>
              </w:rPr>
              <w:t>钼，可溶性化合物</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216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内吸磷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217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萘</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218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2-萘酚</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219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萘烷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220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尿素</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221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镍及其无机化合物(按Ni计)</w:t>
            </w:r>
            <w:r>
              <w:rPr>
                <w:rFonts w:hint="eastAsia" w:ascii="仿宋_GB2312" w:hAnsi="仿宋_GB2312" w:cs="仿宋_GB2312"/>
                <w:bCs/>
                <w:sz w:val="21"/>
                <w:szCs w:val="21"/>
              </w:rPr>
              <w:t xml:space="preserve"> </w:t>
            </w:r>
          </w:p>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金属镍与难溶性镍化合物</w:t>
            </w:r>
          </w:p>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可溶性镍化合物</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222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铍及其化合物（按Be计）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223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偏二甲基肼</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224</w:t>
            </w:r>
          </w:p>
        </w:tc>
        <w:tc>
          <w:tcPr>
            <w:tcW w:w="3762" w:type="dxa"/>
            <w:noWrap w:val="0"/>
            <w:tcMar>
              <w:top w:w="15" w:type="dxa"/>
              <w:left w:w="113" w:type="dxa"/>
              <w:right w:w="28" w:type="dxa"/>
            </w:tcMar>
            <w:vAlign w:val="center"/>
          </w:tcPr>
          <w:p>
            <w:pPr>
              <w:widowControl/>
              <w:tabs>
                <w:tab w:val="center" w:pos="4153"/>
                <w:tab w:val="right" w:pos="8306"/>
              </w:tabs>
              <w:snapToGrid w:val="0"/>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铅及其无机化合物（按Pb计）、铅尘、铅烟</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225</w:t>
            </w:r>
          </w:p>
        </w:tc>
        <w:tc>
          <w:tcPr>
            <w:tcW w:w="3762" w:type="dxa"/>
            <w:noWrap w:val="0"/>
            <w:tcMar>
              <w:top w:w="15" w:type="dxa"/>
              <w:left w:w="113" w:type="dxa"/>
              <w:right w:w="28" w:type="dxa"/>
            </w:tcMar>
            <w:vAlign w:val="center"/>
          </w:tcPr>
          <w:p>
            <w:pPr>
              <w:widowControl/>
              <w:tabs>
                <w:tab w:val="center" w:pos="4153"/>
                <w:tab w:val="right" w:pos="8306"/>
              </w:tabs>
              <w:snapToGrid w:val="0"/>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氢化锂</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226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氢醌</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227</w:t>
            </w:r>
          </w:p>
        </w:tc>
        <w:tc>
          <w:tcPr>
            <w:tcW w:w="3762" w:type="dxa"/>
            <w:noWrap w:val="0"/>
            <w:tcMar>
              <w:top w:w="15" w:type="dxa"/>
              <w:left w:w="113" w:type="dxa"/>
              <w:right w:w="28" w:type="dxa"/>
            </w:tcMar>
            <w:vAlign w:val="center"/>
          </w:tcPr>
          <w:p>
            <w:pPr>
              <w:widowControl/>
              <w:tabs>
                <w:tab w:val="center" w:pos="4153"/>
                <w:tab w:val="right" w:pos="8306"/>
              </w:tabs>
              <w:snapToGrid w:val="0"/>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氢氧化钾</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228</w:t>
            </w:r>
          </w:p>
        </w:tc>
        <w:tc>
          <w:tcPr>
            <w:tcW w:w="3762" w:type="dxa"/>
            <w:noWrap w:val="0"/>
            <w:tcMar>
              <w:top w:w="15" w:type="dxa"/>
              <w:left w:w="113" w:type="dxa"/>
              <w:right w:w="28" w:type="dxa"/>
            </w:tcMar>
            <w:vAlign w:val="center"/>
          </w:tcPr>
          <w:p>
            <w:pPr>
              <w:widowControl/>
              <w:tabs>
                <w:tab w:val="center" w:pos="4153"/>
                <w:tab w:val="right" w:pos="8306"/>
              </w:tabs>
              <w:snapToGrid w:val="0"/>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氢氧化钠</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229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氢氧化铯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230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氰氨化钙</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231</w:t>
            </w:r>
          </w:p>
        </w:tc>
        <w:tc>
          <w:tcPr>
            <w:tcW w:w="3762" w:type="dxa"/>
            <w:noWrap w:val="0"/>
            <w:tcMar>
              <w:top w:w="15" w:type="dxa"/>
              <w:left w:w="113" w:type="dxa"/>
              <w:right w:w="28" w:type="dxa"/>
            </w:tcMar>
            <w:vAlign w:val="center"/>
          </w:tcPr>
          <w:p>
            <w:pPr>
              <w:widowControl/>
              <w:tabs>
                <w:tab w:val="center" w:pos="4153"/>
                <w:tab w:val="right" w:pos="8306"/>
              </w:tabs>
              <w:snapToGrid w:val="0"/>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氰化氢（按CN计）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232</w:t>
            </w:r>
          </w:p>
        </w:tc>
        <w:tc>
          <w:tcPr>
            <w:tcW w:w="3762" w:type="dxa"/>
            <w:noWrap w:val="0"/>
            <w:tcMar>
              <w:top w:w="15" w:type="dxa"/>
              <w:left w:w="113" w:type="dxa"/>
              <w:right w:w="28" w:type="dxa"/>
            </w:tcMar>
            <w:vAlign w:val="center"/>
          </w:tcPr>
          <w:p>
            <w:pPr>
              <w:widowControl/>
              <w:tabs>
                <w:tab w:val="center" w:pos="4153"/>
                <w:tab w:val="right" w:pos="8306"/>
              </w:tabs>
              <w:snapToGrid w:val="0"/>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氰化物（按CN计）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233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氰戊菊酯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tabs>
                <w:tab w:val="center" w:pos="4153"/>
                <w:tab w:val="right" w:pos="8306"/>
              </w:tabs>
              <w:snapToGrid w:val="0"/>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234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全氟异丁烯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tabs>
                <w:tab w:val="center" w:pos="4153"/>
                <w:tab w:val="right" w:pos="8306"/>
              </w:tabs>
              <w:snapToGrid w:val="0"/>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235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壬烷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236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溶剂汽油</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237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乳酸正丁酯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238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三氟化氯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tabs>
                <w:tab w:val="center" w:pos="4153"/>
                <w:tab w:val="right" w:pos="8306"/>
              </w:tabs>
              <w:snapToGrid w:val="0"/>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239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三氟化硼</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tabs>
                <w:tab w:val="center" w:pos="4153"/>
                <w:tab w:val="right" w:pos="8306"/>
              </w:tabs>
              <w:snapToGrid w:val="0"/>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240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三氟甲基次氟化物</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tabs>
                <w:tab w:val="center" w:pos="4153"/>
                <w:tab w:val="right" w:pos="8306"/>
              </w:tabs>
              <w:snapToGrid w:val="0"/>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241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三甲苯磷酸酯（全部异构体）</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59"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242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三甲基氯化锡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243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1,2,3-三氯丙烷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244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三氯化磷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245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三氯甲烷（氯仿）</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246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三氯硫磷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tabs>
                <w:tab w:val="center" w:pos="4153"/>
                <w:tab w:val="right" w:pos="8306"/>
              </w:tabs>
              <w:snapToGrid w:val="0"/>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247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三氯氢硅</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tabs>
                <w:tab w:val="center" w:pos="4153"/>
                <w:tab w:val="right" w:pos="8306"/>
              </w:tabs>
              <w:snapToGrid w:val="0"/>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248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三氯氧磷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249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三氯乙醛</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250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1,1,1-三氯乙烷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251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三氯乙烯</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252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三硝基甲苯</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253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三溴甲烷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254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三氧化铬、铬酸盐、重铬酸盐（按Cr计）</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255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三乙基氯化锡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256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杀螟松</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25"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257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杀鼠灵（3-（1-丙酮基苄基）-4-羟基香豆素；华法林）</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258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砷化氢（胂）</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259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砷及其无机化合物（按As计）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260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石蜡烟</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261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十溴联苯醚</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262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eastAsia="仿宋_GB2312" w:cs="仿宋_GB2312"/>
                <w:bCs/>
                <w:kern w:val="0"/>
                <w:sz w:val="21"/>
                <w:szCs w:val="21"/>
                <w:lang w:eastAsia="zh-CN"/>
              </w:rPr>
            </w:pPr>
            <w:r>
              <w:rPr>
                <w:rFonts w:hint="eastAsia" w:ascii="仿宋_GB2312" w:hAnsi="仿宋_GB2312" w:cs="仿宋_GB2312"/>
                <w:bCs/>
                <w:kern w:val="0"/>
                <w:sz w:val="21"/>
                <w:szCs w:val="21"/>
              </w:rPr>
              <w:t>石油沥青烟</w:t>
            </w:r>
            <w:r>
              <w:rPr>
                <w:rFonts w:hint="eastAsia" w:ascii="仿宋_GB2312" w:hAnsi="仿宋_GB2312" w:cs="仿宋_GB2312"/>
                <w:bCs/>
                <w:kern w:val="0"/>
                <w:sz w:val="21"/>
                <w:szCs w:val="21"/>
                <w:lang w:eastAsia="zh-CN"/>
              </w:rPr>
              <w:t>（</w:t>
            </w:r>
            <w:r>
              <w:rPr>
                <w:rFonts w:hint="eastAsia" w:ascii="仿宋_GB2312" w:hAnsi="仿宋_GB2312" w:cs="仿宋_GB2312"/>
                <w:bCs/>
                <w:kern w:val="0"/>
                <w:sz w:val="21"/>
                <w:szCs w:val="21"/>
              </w:rPr>
              <w:t>按苯溶物计</w:t>
            </w:r>
            <w:r>
              <w:rPr>
                <w:rFonts w:hint="eastAsia" w:ascii="仿宋_GB2312" w:hAnsi="仿宋_GB2312" w:cs="仿宋_GB2312"/>
                <w:bCs/>
                <w:kern w:val="0"/>
                <w:sz w:val="21"/>
                <w:szCs w:val="21"/>
                <w:lang w:val="en-US" w:eastAsia="zh-CN"/>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263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双（巯基乙酸）二辛基锡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264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双酚A</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265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双硫醒</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266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双氯甲醚</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267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四氯化碳</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268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四氯乙烯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269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四氢呋喃</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270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四氢化硅</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271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四氢化锗</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bl>
    <w:p/>
    <w:tbl>
      <w:tblPr>
        <w:tblStyle w:val="11"/>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507"/>
        <w:gridCol w:w="3762"/>
        <w:gridCol w:w="713"/>
        <w:gridCol w:w="998"/>
        <w:gridCol w:w="713"/>
        <w:gridCol w:w="1426"/>
        <w:gridCol w:w="10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272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四溴化碳</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273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四乙基铅（按Pb计）</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274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松节油</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275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铊及其可溶性化合物（按T</w:t>
            </w:r>
            <w:r>
              <w:rPr>
                <w:rFonts w:hint="eastAsia" w:ascii="仿宋_GB2312" w:hAnsi="仿宋_GB2312" w:cs="仿宋_GB2312"/>
                <w:bCs/>
                <w:kern w:val="0"/>
                <w:sz w:val="21"/>
                <w:szCs w:val="21"/>
                <w:lang w:val="en-US" w:eastAsia="zh-CN"/>
              </w:rPr>
              <w:t>l</w:t>
            </w:r>
            <w:r>
              <w:rPr>
                <w:rFonts w:hint="eastAsia" w:ascii="仿宋_GB2312" w:hAnsi="仿宋_GB2312" w:cs="仿宋_GB2312"/>
                <w:bCs/>
                <w:kern w:val="0"/>
                <w:sz w:val="21"/>
                <w:szCs w:val="21"/>
              </w:rPr>
              <w:t>计）</w:t>
            </w:r>
          </w:p>
        </w:tc>
        <w:tc>
          <w:tcPr>
            <w:tcW w:w="713" w:type="dxa"/>
            <w:noWrap w:val="0"/>
            <w:tcMar>
              <w:top w:w="15" w:type="dxa"/>
              <w:left w:w="15" w:type="dxa"/>
              <w:right w:w="15" w:type="dxa"/>
            </w:tcMar>
            <w:vAlign w:val="top"/>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top"/>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276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钽及其氧化物（按Ta计）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277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碳酸钠</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278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碳酰氯（光气）</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279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羰基氟</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280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羰基镍（按Ni计）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281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锑及其化合物（按Sb计）</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282</w:t>
            </w:r>
          </w:p>
        </w:tc>
        <w:tc>
          <w:tcPr>
            <w:tcW w:w="3762" w:type="dxa"/>
            <w:noWrap w:val="0"/>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铜（按Cu计）</w:t>
            </w:r>
            <w:r>
              <w:rPr>
                <w:rFonts w:hint="eastAsia" w:ascii="仿宋_GB2312" w:hAnsi="仿宋_GB2312" w:cs="仿宋_GB2312"/>
                <w:bCs/>
                <w:kern w:val="0"/>
                <w:sz w:val="21"/>
                <w:szCs w:val="21"/>
              </w:rPr>
              <w:br w:type="textWrapping"/>
            </w:r>
            <w:r>
              <w:rPr>
                <w:rFonts w:hint="eastAsia" w:ascii="仿宋_GB2312" w:hAnsi="仿宋_GB2312" w:cs="仿宋_GB2312"/>
                <w:bCs/>
                <w:kern w:val="0"/>
                <w:sz w:val="21"/>
                <w:szCs w:val="21"/>
              </w:rPr>
              <w:t>铜尘</w:t>
            </w:r>
            <w:r>
              <w:rPr>
                <w:rFonts w:hint="eastAsia" w:ascii="仿宋_GB2312" w:hAnsi="仿宋_GB2312" w:cs="仿宋_GB2312"/>
                <w:bCs/>
                <w:kern w:val="0"/>
                <w:sz w:val="21"/>
                <w:szCs w:val="21"/>
              </w:rPr>
              <w:br w:type="textWrapping"/>
            </w:r>
            <w:r>
              <w:rPr>
                <w:rFonts w:hint="eastAsia" w:ascii="仿宋_GB2312" w:hAnsi="仿宋_GB2312" w:cs="仿宋_GB2312"/>
                <w:bCs/>
                <w:kern w:val="0"/>
                <w:sz w:val="21"/>
                <w:szCs w:val="21"/>
              </w:rPr>
              <w:t>铜烟</w:t>
            </w:r>
          </w:p>
        </w:tc>
        <w:tc>
          <w:tcPr>
            <w:tcW w:w="713" w:type="dxa"/>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426" w:type="dxa"/>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283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钨及其不溶性化合物（按W计）</w:t>
            </w:r>
          </w:p>
        </w:tc>
        <w:tc>
          <w:tcPr>
            <w:tcW w:w="713" w:type="dxa"/>
            <w:noWrap w:val="0"/>
            <w:tcMar>
              <w:top w:w="15" w:type="dxa"/>
              <w:left w:w="15" w:type="dxa"/>
              <w:right w:w="15" w:type="dxa"/>
            </w:tcMar>
            <w:vAlign w:val="top"/>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top"/>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top"/>
          </w:tcPr>
          <w:p>
            <w:pPr>
              <w:spacing w:line="300" w:lineRule="exact"/>
              <w:jc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426" w:type="dxa"/>
            <w:noWrap w:val="0"/>
            <w:tcMar>
              <w:top w:w="15" w:type="dxa"/>
              <w:left w:w="15" w:type="dxa"/>
              <w:right w:w="15" w:type="dxa"/>
            </w:tcMar>
            <w:vAlign w:val="top"/>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284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五氟一氯乙烷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285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五硫化二磷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286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五氯酚及其钠盐</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287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五羰基铁（按Fe计）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288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五氧化二磷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289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戊醇</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290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戊烷（全部异构体）</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291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硒化氢（按Se计）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07"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292</w:t>
            </w:r>
          </w:p>
        </w:tc>
        <w:tc>
          <w:tcPr>
            <w:tcW w:w="3762" w:type="dxa"/>
            <w:noWrap w:val="0"/>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硒及其化合物（按Se计）（不包括六氟化硒、硒化氢）</w:t>
            </w:r>
          </w:p>
        </w:tc>
        <w:tc>
          <w:tcPr>
            <w:tcW w:w="713"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293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纤维素</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294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硝化甘油</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295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硝基苯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296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1-硝基丙烷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297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2-硝基丙烷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298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硝基甲苯（全部异构体）</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299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硝基甲烷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300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硝基乙烷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301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辛烷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302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溴</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303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溴化氢</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304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1-溴丙烷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305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溴甲烷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306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溴氰菊酯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307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溴鼠灵</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308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氧化钙</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309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氧化镁烟</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310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氧化锌</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311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氧乐果</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312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液化石油气</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313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一氧化碳</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314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乙胺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315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乙苯</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316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乙醇胺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317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乙二胺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318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乙二醇</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319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乙二醇二硝酸酯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320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乙酐</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321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N-乙基吗啉</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322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乙基戊基甲酮</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323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乙腈</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324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乙硫醇</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325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乙醚</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326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乙醛</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327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乙酸</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328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乙酸丙酯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329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乙酸丁酯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330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乙酸甲酯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331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乙酸戊酯（全部异构体）</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332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乙酸乙烯酯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333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乙酸乙酯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334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乙烯酮</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335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乙酰甲胺磷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336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乙酰水杨酸（阿司匹林）</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337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2-乙氧基乙醇</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338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2-乙氧基乙基乙酸酯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339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钇及其化合物（按Y计）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340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异丙胺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341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异丙醇</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342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N-异丙基苯胺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343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异稻瘟净</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344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异佛尔酮</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345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异佛尔酮二异氰酸酯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346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异氰酸甲酯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347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异亚丙基丙酮</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348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铟及其化合物（按In计）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349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茚</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350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莠去津</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351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正丙醇</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352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正丁胺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i/>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353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正丁醇</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354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正丁基硫醇</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i/>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355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正丁基缩水甘油醚</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356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正丁醛</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357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正庚烷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358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正己烷</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359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总粉尘</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360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呼吸性粉尘</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361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粉尘中游离二氧化硅</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362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粉尘分散度</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363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石棉纤维</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364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超细颗粒和细颗粒</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07"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
                <w:sz w:val="21"/>
                <w:szCs w:val="21"/>
              </w:rPr>
            </w:pPr>
            <w:r>
              <w:rPr>
                <w:rFonts w:hint="eastAsia" w:ascii="仿宋_GB2312" w:hAnsi="仿宋_GB2312" w:cs="仿宋_GB2312"/>
                <w:b/>
                <w:kern w:val="0"/>
                <w:sz w:val="21"/>
                <w:szCs w:val="21"/>
              </w:rPr>
              <w:t>二</w:t>
            </w:r>
          </w:p>
        </w:tc>
        <w:tc>
          <w:tcPr>
            <w:tcW w:w="8663" w:type="dxa"/>
            <w:gridSpan w:val="6"/>
            <w:noWrap w:val="0"/>
            <w:tcMar>
              <w:top w:w="15" w:type="dxa"/>
              <w:left w:w="113" w:type="dxa"/>
              <w:right w:w="28" w:type="dxa"/>
            </w:tcMar>
            <w:vAlign w:val="center"/>
          </w:tcPr>
          <w:p>
            <w:pPr>
              <w:spacing w:line="300" w:lineRule="exact"/>
              <w:jc w:val="left"/>
              <w:rPr>
                <w:rFonts w:hint="eastAsia" w:ascii="仿宋_GB2312" w:hAnsi="仿宋_GB2312" w:cs="仿宋_GB2312"/>
                <w:b/>
                <w:sz w:val="21"/>
                <w:szCs w:val="21"/>
              </w:rPr>
            </w:pPr>
            <w:r>
              <w:rPr>
                <w:rFonts w:hint="eastAsia" w:ascii="仿宋_GB2312" w:hAnsi="仿宋_GB2312" w:cs="仿宋_GB2312"/>
                <w:b/>
                <w:kern w:val="0"/>
                <w:sz w:val="21"/>
                <w:szCs w:val="21"/>
              </w:rPr>
              <w:t>物理因素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365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噪声</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366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高温</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367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紫外辐射</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368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手传振动</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369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微波辐射</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370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1Hz～100kHz电场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371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高频电磁场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372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超高频辐射</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373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激光辐射</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rPr>
              <w:t>三</w:t>
            </w:r>
          </w:p>
        </w:tc>
        <w:tc>
          <w:tcPr>
            <w:tcW w:w="8663" w:type="dxa"/>
            <w:gridSpan w:val="6"/>
            <w:noWrap w:val="0"/>
            <w:tcMar>
              <w:top w:w="15" w:type="dxa"/>
              <w:left w:w="113" w:type="dxa"/>
              <w:right w:w="28" w:type="dxa"/>
            </w:tcMar>
            <w:vAlign w:val="center"/>
          </w:tcPr>
          <w:p>
            <w:pPr>
              <w:spacing w:line="300" w:lineRule="exact"/>
              <w:jc w:val="left"/>
              <w:rPr>
                <w:rFonts w:hint="eastAsia" w:ascii="仿宋_GB2312" w:hAnsi="仿宋_GB2312" w:cs="仿宋_GB2312"/>
                <w:b/>
                <w:sz w:val="21"/>
                <w:szCs w:val="21"/>
              </w:rPr>
            </w:pPr>
            <w:r>
              <w:rPr>
                <w:rFonts w:hint="eastAsia" w:ascii="仿宋_GB2312" w:hAnsi="仿宋_GB2312" w:cs="仿宋_GB2312"/>
                <w:b/>
                <w:kern w:val="0"/>
                <w:sz w:val="21"/>
                <w:szCs w:val="21"/>
              </w:rPr>
              <w:t>通风工程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374</w:t>
            </w:r>
          </w:p>
        </w:tc>
        <w:tc>
          <w:tcPr>
            <w:tcW w:w="3762" w:type="dxa"/>
            <w:noWrap w:val="0"/>
            <w:tcMar>
              <w:top w:w="15" w:type="dxa"/>
              <w:left w:w="113" w:type="dxa"/>
              <w:right w:w="28" w:type="dxa"/>
            </w:tcMar>
            <w:vAlign w:val="center"/>
          </w:tcPr>
          <w:p>
            <w:pPr>
              <w:widowControl/>
              <w:spacing w:line="300" w:lineRule="exact"/>
              <w:jc w:val="left"/>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风速</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375</w:t>
            </w:r>
          </w:p>
        </w:tc>
        <w:tc>
          <w:tcPr>
            <w:tcW w:w="3762" w:type="dxa"/>
            <w:noWrap w:val="0"/>
            <w:tcMar>
              <w:top w:w="15" w:type="dxa"/>
              <w:left w:w="113" w:type="dxa"/>
              <w:right w:w="28" w:type="dxa"/>
            </w:tcMar>
            <w:vAlign w:val="center"/>
          </w:tcPr>
          <w:p>
            <w:pPr>
              <w:widowControl/>
              <w:spacing w:line="300" w:lineRule="exact"/>
              <w:jc w:val="left"/>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风压</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376</w:t>
            </w:r>
          </w:p>
        </w:tc>
        <w:tc>
          <w:tcPr>
            <w:tcW w:w="3762" w:type="dxa"/>
            <w:noWrap w:val="0"/>
            <w:tcMar>
              <w:top w:w="15" w:type="dxa"/>
              <w:left w:w="113" w:type="dxa"/>
              <w:right w:w="28" w:type="dxa"/>
            </w:tcMar>
            <w:vAlign w:val="center"/>
          </w:tcPr>
          <w:p>
            <w:pPr>
              <w:widowControl/>
              <w:spacing w:line="300" w:lineRule="exact"/>
              <w:jc w:val="left"/>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风量</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rPr>
              <w:t>四</w:t>
            </w:r>
          </w:p>
        </w:tc>
        <w:tc>
          <w:tcPr>
            <w:tcW w:w="8663" w:type="dxa"/>
            <w:gridSpan w:val="6"/>
            <w:noWrap w:val="0"/>
            <w:tcMar>
              <w:top w:w="15" w:type="dxa"/>
              <w:left w:w="113" w:type="dxa"/>
              <w:right w:w="28" w:type="dxa"/>
            </w:tcMar>
            <w:vAlign w:val="center"/>
          </w:tcPr>
          <w:p>
            <w:pPr>
              <w:spacing w:line="300" w:lineRule="exact"/>
              <w:jc w:val="left"/>
              <w:rPr>
                <w:rFonts w:hint="eastAsia" w:ascii="仿宋_GB2312" w:hAnsi="仿宋_GB2312" w:cs="仿宋_GB2312"/>
                <w:b/>
                <w:sz w:val="21"/>
                <w:szCs w:val="21"/>
              </w:rPr>
            </w:pPr>
            <w:r>
              <w:rPr>
                <w:rFonts w:hint="eastAsia" w:ascii="仿宋_GB2312" w:hAnsi="仿宋_GB2312" w:cs="仿宋_GB2312"/>
                <w:b/>
                <w:kern w:val="0"/>
                <w:sz w:val="21"/>
                <w:szCs w:val="21"/>
              </w:rPr>
              <w:t>工作环境卫生条件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377</w:t>
            </w:r>
          </w:p>
        </w:tc>
        <w:tc>
          <w:tcPr>
            <w:tcW w:w="3762" w:type="dxa"/>
            <w:noWrap w:val="0"/>
            <w:tcMar>
              <w:top w:w="15" w:type="dxa"/>
              <w:left w:w="113" w:type="dxa"/>
              <w:right w:w="28" w:type="dxa"/>
            </w:tcMar>
            <w:vAlign w:val="center"/>
          </w:tcPr>
          <w:p>
            <w:pPr>
              <w:widowControl/>
              <w:spacing w:line="300" w:lineRule="exact"/>
              <w:jc w:val="left"/>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照度</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378</w:t>
            </w:r>
          </w:p>
        </w:tc>
        <w:tc>
          <w:tcPr>
            <w:tcW w:w="3762" w:type="dxa"/>
            <w:noWrap w:val="0"/>
            <w:tcMar>
              <w:top w:w="15" w:type="dxa"/>
              <w:left w:w="113" w:type="dxa"/>
              <w:right w:w="28" w:type="dxa"/>
            </w:tcMar>
            <w:vAlign w:val="center"/>
          </w:tcPr>
          <w:p>
            <w:pPr>
              <w:widowControl/>
              <w:spacing w:line="300" w:lineRule="exact"/>
              <w:jc w:val="left"/>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温度</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379</w:t>
            </w:r>
          </w:p>
        </w:tc>
        <w:tc>
          <w:tcPr>
            <w:tcW w:w="3762" w:type="dxa"/>
            <w:noWrap w:val="0"/>
            <w:tcMar>
              <w:top w:w="15" w:type="dxa"/>
              <w:left w:w="113" w:type="dxa"/>
              <w:right w:w="28" w:type="dxa"/>
            </w:tcMar>
            <w:vAlign w:val="center"/>
          </w:tcPr>
          <w:p>
            <w:pPr>
              <w:widowControl/>
              <w:spacing w:line="300" w:lineRule="exact"/>
              <w:jc w:val="left"/>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湿度</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380</w:t>
            </w:r>
          </w:p>
        </w:tc>
        <w:tc>
          <w:tcPr>
            <w:tcW w:w="3762" w:type="dxa"/>
            <w:noWrap w:val="0"/>
            <w:tcMar>
              <w:top w:w="15" w:type="dxa"/>
              <w:left w:w="113" w:type="dxa"/>
              <w:right w:w="28" w:type="dxa"/>
            </w:tcMar>
            <w:vAlign w:val="center"/>
          </w:tcPr>
          <w:p>
            <w:pPr>
              <w:widowControl/>
              <w:spacing w:line="300" w:lineRule="exact"/>
              <w:jc w:val="left"/>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气压</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
                <w:kern w:val="0"/>
                <w:sz w:val="21"/>
                <w:szCs w:val="21"/>
              </w:rPr>
            </w:pPr>
            <w:r>
              <w:rPr>
                <w:rFonts w:hint="eastAsia" w:ascii="仿宋_GB2312" w:hAnsi="仿宋_GB2312" w:cs="仿宋_GB2312"/>
                <w:b/>
                <w:kern w:val="0"/>
                <w:sz w:val="21"/>
                <w:szCs w:val="21"/>
              </w:rPr>
              <w:t>五</w:t>
            </w:r>
          </w:p>
        </w:tc>
        <w:tc>
          <w:tcPr>
            <w:tcW w:w="8663" w:type="dxa"/>
            <w:gridSpan w:val="6"/>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
                <w:kern w:val="0"/>
                <w:sz w:val="21"/>
                <w:szCs w:val="21"/>
              </w:rPr>
            </w:pPr>
            <w:r>
              <w:rPr>
                <w:rFonts w:hint="eastAsia" w:ascii="仿宋_GB2312" w:hAnsi="仿宋_GB2312" w:cs="仿宋_GB2312"/>
                <w:b/>
                <w:kern w:val="0"/>
                <w:sz w:val="21"/>
                <w:szCs w:val="21"/>
              </w:rPr>
              <w:t>生物监测指标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381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尿中苯巯基尿酸</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382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尿中反-反式粘糠酸</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383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尿中苯乙醇酸加苯乙醛酸</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384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尿中丙酮</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385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尿中草甘膦</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386</w:t>
            </w:r>
          </w:p>
        </w:tc>
        <w:tc>
          <w:tcPr>
            <w:tcW w:w="3762" w:type="dxa"/>
            <w:noWrap w:val="0"/>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尿中1,2-双羟基-4-（N-乙酰半胱胺酸）丁烷</w:t>
            </w:r>
          </w:p>
        </w:tc>
        <w:tc>
          <w:tcPr>
            <w:tcW w:w="713"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cs="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387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尿中甲基马尿酸</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388</w:t>
            </w:r>
          </w:p>
        </w:tc>
        <w:tc>
          <w:tcPr>
            <w:tcW w:w="3762" w:type="dxa"/>
            <w:noWrap w:val="0"/>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血中N-甲基氨甲酰血红蛋白加合物（NMHb）</w:t>
            </w:r>
          </w:p>
        </w:tc>
        <w:tc>
          <w:tcPr>
            <w:tcW w:w="713"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cs="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389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尿中N-甲基乙酰胺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390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尿中二氯甲烷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391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尿中2 -硫代噻唑烷-4-羧酸</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392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尿中总酚</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393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尿中氟</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394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尿中镉</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395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血中镉</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396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尿中总汞</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397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尿中马尿酸</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398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终末呼出气甲苯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399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尿中甲苯二胺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400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尿中总铬</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401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血中铅</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402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尿中三氯乙酸</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403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血中4-氨基-2,6-二硝基甲苯-血红蛋白加合物</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404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血中四氯乙烯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405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尿中锑</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406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尿中总五氯酚</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407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尿中1-溴丙烷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408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血中碳氧血红蛋白</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409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尿中苯乙醇酸加苯乙醛酸</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410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全血胆碱酯酶活性（校正值）</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411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尿中2,5-己二酮</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p>
        </w:tc>
      </w:tr>
    </w:tbl>
    <w:p>
      <w:pPr>
        <w:widowControl/>
        <w:tabs>
          <w:tab w:val="left" w:pos="312"/>
        </w:tabs>
        <w:spacing w:line="320" w:lineRule="exact"/>
        <w:jc w:val="left"/>
        <w:textAlignment w:val="center"/>
        <w:rPr>
          <w:rFonts w:ascii="仿宋_GB2312" w:hAnsi="仿宋_GB2312" w:cs="仿宋_GB2312"/>
          <w:sz w:val="21"/>
          <w:szCs w:val="21"/>
        </w:rPr>
      </w:pPr>
      <w:r>
        <w:rPr>
          <w:rFonts w:hint="eastAsia" w:ascii="仿宋_GB2312" w:hAnsi="仿宋_GB2312" w:cs="仿宋_GB2312"/>
          <w:sz w:val="21"/>
          <w:szCs w:val="21"/>
        </w:rPr>
        <w:t>注：1.标注“</w:t>
      </w:r>
      <w:r>
        <w:rPr>
          <w:rFonts w:hint="eastAsia" w:ascii="仿宋_GB2312" w:hAnsi="仿宋_GB2312" w:cs="仿宋_GB2312"/>
          <w:bCs/>
          <w:sz w:val="21"/>
          <w:szCs w:val="21"/>
        </w:rPr>
        <w:t>★</w:t>
      </w:r>
      <w:r>
        <w:rPr>
          <w:rFonts w:hint="eastAsia" w:ascii="仿宋_GB2312" w:hAnsi="仿宋_GB2312" w:cs="仿宋_GB2312"/>
          <w:sz w:val="21"/>
          <w:szCs w:val="21"/>
        </w:rPr>
        <w:t>”为重点检测项目，标注“☆”为一般检测项目，</w:t>
      </w:r>
      <w:r>
        <w:rPr>
          <w:rFonts w:hint="eastAsia" w:ascii="仿宋_GB2312" w:hAnsi="仿宋_GB2312" w:cs="仿宋_GB2312"/>
          <w:bCs/>
          <w:sz w:val="21"/>
          <w:szCs w:val="21"/>
        </w:rPr>
        <w:t>标注</w:t>
      </w:r>
      <w:r>
        <w:rPr>
          <w:rFonts w:ascii="仿宋_GB2312" w:hAnsi="仿宋_GB2312" w:cs="仿宋_GB2312"/>
          <w:bCs/>
          <w:sz w:val="21"/>
          <w:szCs w:val="21"/>
        </w:rPr>
        <w:t xml:space="preserve"> </w:t>
      </w:r>
      <w:r>
        <w:rPr>
          <w:rFonts w:hint="eastAsia" w:ascii="仿宋_GB2312" w:hAnsi="仿宋_GB2312" w:cs="仿宋_GB2312"/>
          <w:bCs/>
          <w:sz w:val="21"/>
          <w:szCs w:val="21"/>
        </w:rPr>
        <w:t>“</w:t>
      </w:r>
      <w:r>
        <w:rPr>
          <w:rFonts w:hint="eastAsia" w:ascii="仿宋_GB2312" w:hAnsi="仿宋_GB2312" w:cs="仿宋_GB2312"/>
          <w:bCs/>
          <w:kern w:val="0"/>
          <w:sz w:val="21"/>
          <w:szCs w:val="21"/>
        </w:rPr>
        <w:t>△</w:t>
      </w:r>
      <w:r>
        <w:rPr>
          <w:rFonts w:hint="eastAsia" w:ascii="仿宋_GB2312" w:hAnsi="仿宋_GB2312" w:cs="仿宋_GB2312"/>
          <w:bCs/>
          <w:sz w:val="21"/>
          <w:szCs w:val="21"/>
        </w:rPr>
        <w:t>”为可选检测项目。</w:t>
      </w:r>
    </w:p>
    <w:p>
      <w:pPr>
        <w:adjustRightInd w:val="0"/>
        <w:snapToGrid w:val="0"/>
        <w:spacing w:line="320" w:lineRule="exact"/>
        <w:ind w:firstLine="420" w:firstLineChars="200"/>
        <w:jc w:val="left"/>
        <w:rPr>
          <w:rFonts w:ascii="仿宋_GB2312" w:hAnsi="仿宋_GB2312" w:cs="仿宋_GB2312"/>
          <w:sz w:val="21"/>
          <w:szCs w:val="21"/>
        </w:rPr>
      </w:pPr>
      <w:r>
        <w:rPr>
          <w:rFonts w:hint="eastAsia" w:ascii="仿宋_GB2312" w:hAnsi="仿宋_GB2312" w:cs="仿宋_GB2312"/>
          <w:sz w:val="21"/>
          <w:szCs w:val="21"/>
        </w:rPr>
        <w:t>2</w:t>
      </w:r>
      <w:r>
        <w:rPr>
          <w:rFonts w:ascii="仿宋_GB2312" w:hAnsi="仿宋_GB2312" w:cs="仿宋_GB2312"/>
          <w:sz w:val="21"/>
          <w:szCs w:val="21"/>
        </w:rPr>
        <w:t>.</w:t>
      </w:r>
      <w:r>
        <w:rPr>
          <w:rFonts w:hint="eastAsia" w:ascii="仿宋_GB2312" w:hAnsi="仿宋_GB2312" w:cs="仿宋_GB2312"/>
          <w:sz w:val="21"/>
          <w:szCs w:val="21"/>
        </w:rPr>
        <w:t>申请“采矿业”或“冶金、建材”业务范围的，甲级应具有不少于38项标注“</w:t>
      </w:r>
      <w:r>
        <w:rPr>
          <w:rFonts w:hint="eastAsia" w:ascii="仿宋_GB2312" w:hAnsi="仿宋_GB2312" w:cs="仿宋_GB2312"/>
          <w:bCs/>
          <w:sz w:val="21"/>
          <w:szCs w:val="21"/>
        </w:rPr>
        <w:t>★</w:t>
      </w:r>
      <w:r>
        <w:rPr>
          <w:rFonts w:hint="eastAsia" w:ascii="仿宋_GB2312" w:hAnsi="仿宋_GB2312" w:cs="仿宋_GB2312"/>
          <w:sz w:val="21"/>
          <w:szCs w:val="21"/>
        </w:rPr>
        <w:t>”项目的检测能力，乙级应具有不少于28项标注“</w:t>
      </w:r>
      <w:r>
        <w:rPr>
          <w:rFonts w:hint="eastAsia" w:ascii="仿宋_GB2312" w:hAnsi="仿宋_GB2312" w:cs="仿宋_GB2312"/>
          <w:bCs/>
          <w:sz w:val="21"/>
          <w:szCs w:val="21"/>
        </w:rPr>
        <w:t>★</w:t>
      </w:r>
      <w:r>
        <w:rPr>
          <w:rFonts w:hint="eastAsia" w:ascii="仿宋_GB2312" w:hAnsi="仿宋_GB2312" w:cs="仿宋_GB2312"/>
          <w:sz w:val="21"/>
          <w:szCs w:val="21"/>
        </w:rPr>
        <w:t>”项目的检测能力；申请“化工、石化及医药”或“机械制造、电力、纺织、建筑和交通运输等行业领域”业务范围的，甲级应具有不少于76项标注“</w:t>
      </w:r>
      <w:r>
        <w:rPr>
          <w:rFonts w:hint="eastAsia" w:ascii="仿宋_GB2312" w:hAnsi="仿宋_GB2312" w:cs="仿宋_GB2312"/>
          <w:bCs/>
          <w:sz w:val="21"/>
          <w:szCs w:val="21"/>
        </w:rPr>
        <w:t>★</w:t>
      </w:r>
      <w:r>
        <w:rPr>
          <w:rFonts w:hint="eastAsia" w:ascii="仿宋_GB2312" w:hAnsi="仿宋_GB2312" w:cs="仿宋_GB2312"/>
          <w:sz w:val="21"/>
          <w:szCs w:val="21"/>
        </w:rPr>
        <w:t>”项目的检测能力，乙级应具有不少于48项标注“</w:t>
      </w:r>
      <w:r>
        <w:rPr>
          <w:rFonts w:hint="eastAsia" w:ascii="仿宋_GB2312" w:hAnsi="仿宋_GB2312" w:cs="仿宋_GB2312"/>
          <w:bCs/>
          <w:sz w:val="21"/>
          <w:szCs w:val="21"/>
        </w:rPr>
        <w:t>★</w:t>
      </w:r>
      <w:r>
        <w:rPr>
          <w:rFonts w:hint="eastAsia" w:ascii="仿宋_GB2312" w:hAnsi="仿宋_GB2312" w:cs="仿宋_GB2312"/>
          <w:sz w:val="21"/>
          <w:szCs w:val="21"/>
        </w:rPr>
        <w:t>”项目的检测能力。</w:t>
      </w:r>
    </w:p>
    <w:p>
      <w:pPr>
        <w:adjustRightInd w:val="0"/>
        <w:snapToGrid w:val="0"/>
        <w:spacing w:line="320" w:lineRule="exact"/>
        <w:ind w:firstLine="420" w:firstLineChars="200"/>
        <w:jc w:val="left"/>
        <w:rPr>
          <w:rFonts w:ascii="仿宋_GB2312" w:hAnsi="仿宋_GB2312" w:cs="仿宋_GB2312"/>
          <w:sz w:val="21"/>
          <w:szCs w:val="21"/>
        </w:rPr>
      </w:pPr>
      <w:r>
        <w:rPr>
          <w:rFonts w:hint="eastAsia" w:ascii="仿宋_GB2312" w:hAnsi="仿宋_GB2312" w:cs="仿宋_GB2312"/>
          <w:sz w:val="21"/>
          <w:szCs w:val="21"/>
        </w:rPr>
        <w:t>3</w:t>
      </w:r>
      <w:r>
        <w:rPr>
          <w:rFonts w:ascii="仿宋_GB2312" w:hAnsi="仿宋_GB2312" w:cs="仿宋_GB2312"/>
          <w:sz w:val="21"/>
          <w:szCs w:val="21"/>
        </w:rPr>
        <w:t>.</w:t>
      </w:r>
      <w:r>
        <w:rPr>
          <w:rFonts w:hint="eastAsia" w:ascii="仿宋_GB2312" w:hAnsi="仿宋_GB2312" w:cs="仿宋_GB2312"/>
          <w:sz w:val="21"/>
          <w:szCs w:val="21"/>
        </w:rPr>
        <w:t>申请“采矿业”或“冶金、建材”业务范围的，甲级标注“</w:t>
      </w:r>
      <w:r>
        <w:rPr>
          <w:rFonts w:hint="eastAsia" w:ascii="仿宋_GB2312" w:hAnsi="仿宋_GB2312" w:cs="仿宋_GB2312"/>
          <w:bCs/>
          <w:sz w:val="21"/>
          <w:szCs w:val="21"/>
        </w:rPr>
        <w:t>★</w:t>
      </w:r>
      <w:r>
        <w:rPr>
          <w:rFonts w:hint="eastAsia" w:ascii="仿宋_GB2312" w:hAnsi="仿宋_GB2312" w:cs="仿宋_GB2312"/>
          <w:sz w:val="21"/>
          <w:szCs w:val="21"/>
        </w:rPr>
        <w:t>”和“☆”项目的检测能力合计应不少于</w:t>
      </w:r>
      <w:r>
        <w:rPr>
          <w:rFonts w:ascii="仿宋_GB2312" w:hAnsi="仿宋_GB2312" w:cs="仿宋_GB2312"/>
          <w:sz w:val="21"/>
          <w:szCs w:val="21"/>
        </w:rPr>
        <w:t>60</w:t>
      </w:r>
      <w:r>
        <w:rPr>
          <w:rFonts w:hint="eastAsia" w:ascii="仿宋_GB2312" w:hAnsi="仿宋_GB2312" w:cs="仿宋_GB2312"/>
          <w:sz w:val="21"/>
          <w:szCs w:val="21"/>
        </w:rPr>
        <w:t>项，乙级标注“</w:t>
      </w:r>
      <w:r>
        <w:rPr>
          <w:rFonts w:hint="eastAsia" w:ascii="仿宋_GB2312" w:hAnsi="仿宋_GB2312" w:cs="仿宋_GB2312"/>
          <w:bCs/>
          <w:sz w:val="21"/>
          <w:szCs w:val="21"/>
        </w:rPr>
        <w:t>★</w:t>
      </w:r>
      <w:r>
        <w:rPr>
          <w:rFonts w:hint="eastAsia" w:ascii="仿宋_GB2312" w:hAnsi="仿宋_GB2312" w:cs="仿宋_GB2312"/>
          <w:sz w:val="21"/>
          <w:szCs w:val="21"/>
        </w:rPr>
        <w:t>”和“☆”项目的检测能力合计应不少于4</w:t>
      </w:r>
      <w:r>
        <w:rPr>
          <w:rFonts w:ascii="仿宋_GB2312" w:hAnsi="仿宋_GB2312" w:cs="仿宋_GB2312"/>
          <w:sz w:val="21"/>
          <w:szCs w:val="21"/>
        </w:rPr>
        <w:t>0</w:t>
      </w:r>
      <w:r>
        <w:rPr>
          <w:rFonts w:hint="eastAsia" w:ascii="仿宋_GB2312" w:hAnsi="仿宋_GB2312" w:cs="仿宋_GB2312"/>
          <w:sz w:val="21"/>
          <w:szCs w:val="21"/>
        </w:rPr>
        <w:t>项；申请“化工、石化及医药”或“机械制造、电力、纺织、建筑和交通运输等行业领域”业务范围的，甲级标注“</w:t>
      </w:r>
      <w:r>
        <w:rPr>
          <w:rFonts w:hint="eastAsia" w:ascii="仿宋_GB2312" w:hAnsi="仿宋_GB2312" w:cs="仿宋_GB2312"/>
          <w:bCs/>
          <w:sz w:val="21"/>
          <w:szCs w:val="21"/>
        </w:rPr>
        <w:t>★</w:t>
      </w:r>
      <w:r>
        <w:rPr>
          <w:rFonts w:hint="eastAsia" w:ascii="仿宋_GB2312" w:hAnsi="仿宋_GB2312" w:cs="仿宋_GB2312"/>
          <w:sz w:val="21"/>
          <w:szCs w:val="21"/>
        </w:rPr>
        <w:t>”和“☆”项目的检测能力合计应不少于15</w:t>
      </w:r>
      <w:r>
        <w:rPr>
          <w:rFonts w:ascii="仿宋_GB2312" w:hAnsi="仿宋_GB2312" w:cs="仿宋_GB2312"/>
          <w:sz w:val="21"/>
          <w:szCs w:val="21"/>
        </w:rPr>
        <w:t>0</w:t>
      </w:r>
      <w:r>
        <w:rPr>
          <w:rFonts w:hint="eastAsia" w:ascii="仿宋_GB2312" w:hAnsi="仿宋_GB2312" w:cs="仿宋_GB2312"/>
          <w:sz w:val="21"/>
          <w:szCs w:val="21"/>
        </w:rPr>
        <w:t>项，乙级标注“</w:t>
      </w:r>
      <w:r>
        <w:rPr>
          <w:rFonts w:hint="eastAsia" w:ascii="仿宋_GB2312" w:hAnsi="仿宋_GB2312" w:cs="仿宋_GB2312"/>
          <w:bCs/>
          <w:sz w:val="21"/>
          <w:szCs w:val="21"/>
        </w:rPr>
        <w:t>★</w:t>
      </w:r>
      <w:r>
        <w:rPr>
          <w:rFonts w:hint="eastAsia" w:ascii="仿宋_GB2312" w:hAnsi="仿宋_GB2312" w:cs="仿宋_GB2312"/>
          <w:sz w:val="21"/>
          <w:szCs w:val="21"/>
        </w:rPr>
        <w:t>”和“☆”项目的检测能力合计应不少于10</w:t>
      </w:r>
      <w:r>
        <w:rPr>
          <w:rFonts w:ascii="仿宋_GB2312" w:hAnsi="仿宋_GB2312" w:cs="仿宋_GB2312"/>
          <w:sz w:val="21"/>
          <w:szCs w:val="21"/>
        </w:rPr>
        <w:t>0</w:t>
      </w:r>
      <w:r>
        <w:rPr>
          <w:rFonts w:hint="eastAsia" w:ascii="仿宋_GB2312" w:hAnsi="仿宋_GB2312" w:cs="仿宋_GB2312"/>
          <w:sz w:val="21"/>
          <w:szCs w:val="21"/>
        </w:rPr>
        <w:t>项。</w:t>
      </w:r>
    </w:p>
    <w:p>
      <w:pPr>
        <w:widowControl/>
        <w:tabs>
          <w:tab w:val="left" w:pos="312"/>
        </w:tabs>
        <w:spacing w:line="320" w:lineRule="exact"/>
        <w:ind w:firstLine="420" w:firstLineChars="200"/>
        <w:jc w:val="left"/>
        <w:textAlignment w:val="center"/>
        <w:rPr>
          <w:rFonts w:ascii="仿宋_GB2312" w:hAnsi="仿宋_GB2312" w:cs="仿宋_GB2312"/>
          <w:sz w:val="21"/>
          <w:szCs w:val="21"/>
        </w:rPr>
      </w:pPr>
      <w:r>
        <w:rPr>
          <w:rFonts w:hint="eastAsia" w:ascii="仿宋_GB2312" w:hAnsi="仿宋_GB2312" w:cs="仿宋_GB2312"/>
          <w:sz w:val="21"/>
          <w:szCs w:val="21"/>
        </w:rPr>
        <w:t>4</w:t>
      </w:r>
      <w:r>
        <w:rPr>
          <w:rFonts w:ascii="仿宋_GB2312" w:hAnsi="仿宋_GB2312" w:cs="仿宋_GB2312"/>
          <w:sz w:val="21"/>
          <w:szCs w:val="21"/>
        </w:rPr>
        <w:t>.</w:t>
      </w:r>
      <w:r>
        <w:rPr>
          <w:rFonts w:hint="eastAsia" w:ascii="仿宋_GB2312" w:hAnsi="仿宋_GB2312" w:cs="仿宋_GB2312"/>
          <w:sz w:val="21"/>
          <w:szCs w:val="21"/>
        </w:rPr>
        <w:t>相关检测能力须经专家现场考核认定。</w:t>
      </w:r>
    </w:p>
    <w:p>
      <w:pPr>
        <w:widowControl/>
        <w:jc w:val="left"/>
        <w:rPr>
          <w:rFonts w:ascii="黑体" w:hAnsi="黑体" w:eastAsia="黑体" w:cs="黑体"/>
          <w:szCs w:val="32"/>
          <w:shd w:val="clear" w:color="auto" w:fill="FFFFFF"/>
          <w:lang w:bidi="ar"/>
        </w:rPr>
      </w:pPr>
      <w:r>
        <w:rPr>
          <w:rFonts w:hint="eastAsia" w:ascii="黑体" w:hAnsi="黑体" w:eastAsia="黑体" w:cs="黑体"/>
          <w:sz w:val="21"/>
          <w:shd w:val="clear" w:color="auto" w:fill="FFFFFF"/>
          <w:lang w:bidi="ar"/>
        </w:rPr>
        <w:br w:type="page"/>
      </w:r>
      <w:r>
        <w:rPr>
          <w:rFonts w:hint="eastAsia" w:ascii="黑体" w:hAnsi="黑体" w:eastAsia="黑体" w:cs="黑体"/>
          <w:szCs w:val="32"/>
          <w:shd w:val="clear" w:color="auto" w:fill="FFFFFF"/>
          <w:lang w:bidi="ar"/>
        </w:rPr>
        <w:t>附录5</w:t>
      </w:r>
    </w:p>
    <w:p>
      <w:pPr>
        <w:jc w:val="center"/>
        <w:rPr>
          <w:rFonts w:hint="eastAsia" w:eastAsia="华文中宋"/>
          <w:b/>
          <w:sz w:val="28"/>
          <w:lang w:bidi="ar"/>
        </w:rPr>
      </w:pPr>
      <w:r>
        <w:rPr>
          <w:rFonts w:hint="eastAsia" w:ascii="华文中宋" w:hAnsi="华文中宋" w:eastAsia="华文中宋"/>
          <w:b/>
          <w:sz w:val="36"/>
          <w:szCs w:val="36"/>
        </w:rPr>
        <w:t>第二类业务范围检测项目表</w:t>
      </w:r>
    </w:p>
    <w:tbl>
      <w:tblPr>
        <w:tblStyle w:val="11"/>
        <w:tblW w:w="0" w:type="auto"/>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821"/>
        <w:gridCol w:w="3873"/>
        <w:gridCol w:w="952"/>
        <w:gridCol w:w="1164"/>
        <w:gridCol w:w="1633"/>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821" w:type="dxa"/>
            <w:vMerge w:val="restart"/>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
                <w:kern w:val="0"/>
                <w:sz w:val="21"/>
                <w:szCs w:val="21"/>
                <w:lang w:bidi="ar"/>
              </w:rPr>
            </w:pPr>
            <w:r>
              <w:rPr>
                <w:rFonts w:hint="eastAsia" w:ascii="仿宋_GB2312" w:hAnsi="仿宋_GB2312" w:cs="仿宋_GB2312"/>
                <w:b/>
                <w:kern w:val="0"/>
                <w:sz w:val="21"/>
                <w:szCs w:val="21"/>
                <w:lang w:bidi="ar"/>
              </w:rPr>
              <w:t>项 目</w:t>
            </w:r>
          </w:p>
          <w:p>
            <w:pPr>
              <w:widowControl/>
              <w:spacing w:line="300"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lang w:bidi="ar"/>
              </w:rPr>
              <w:t>编 号</w:t>
            </w:r>
          </w:p>
        </w:tc>
        <w:tc>
          <w:tcPr>
            <w:tcW w:w="3873" w:type="dxa"/>
            <w:vMerge w:val="restart"/>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lang w:bidi="ar"/>
              </w:rPr>
              <w:t>检 测 项 目</w:t>
            </w:r>
          </w:p>
        </w:tc>
        <w:tc>
          <w:tcPr>
            <w:tcW w:w="2116" w:type="dxa"/>
            <w:gridSpan w:val="2"/>
            <w:noWrap w:val="0"/>
            <w:tcMar>
              <w:top w:w="15" w:type="dxa"/>
              <w:left w:w="15" w:type="dxa"/>
              <w:right w:w="15" w:type="dxa"/>
            </w:tcMar>
            <w:vAlign w:val="center"/>
          </w:tcPr>
          <w:p>
            <w:pPr>
              <w:spacing w:line="300" w:lineRule="exact"/>
              <w:jc w:val="center"/>
              <w:rPr>
                <w:rFonts w:hint="eastAsia" w:ascii="仿宋_GB2312" w:hAnsi="仿宋_GB2312" w:cs="仿宋_GB2312"/>
                <w:b/>
                <w:sz w:val="21"/>
                <w:szCs w:val="21"/>
              </w:rPr>
            </w:pPr>
            <w:r>
              <w:rPr>
                <w:rFonts w:hint="eastAsia" w:ascii="仿宋_GB2312" w:hAnsi="仿宋_GB2312" w:cs="仿宋_GB2312"/>
                <w:b/>
                <w:kern w:val="0"/>
                <w:sz w:val="21"/>
                <w:szCs w:val="21"/>
                <w:lang w:bidi="ar"/>
              </w:rPr>
              <w:t>条 件 要 求</w:t>
            </w:r>
          </w:p>
        </w:tc>
        <w:tc>
          <w:tcPr>
            <w:tcW w:w="1633" w:type="dxa"/>
            <w:vMerge w:val="restart"/>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lang w:bidi="ar"/>
              </w:rPr>
              <w:t>备  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821" w:type="dxa"/>
            <w:vMerge w:val="continue"/>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
                <w:sz w:val="21"/>
                <w:szCs w:val="21"/>
              </w:rPr>
            </w:pPr>
          </w:p>
        </w:tc>
        <w:tc>
          <w:tcPr>
            <w:tcW w:w="3873" w:type="dxa"/>
            <w:vMerge w:val="continue"/>
            <w:noWrap w:val="0"/>
            <w:tcMar>
              <w:top w:w="15" w:type="dxa"/>
              <w:left w:w="15" w:type="dxa"/>
              <w:right w:w="15" w:type="dxa"/>
            </w:tcMar>
            <w:vAlign w:val="center"/>
          </w:tcPr>
          <w:p>
            <w:pPr>
              <w:spacing w:line="300" w:lineRule="exact"/>
              <w:jc w:val="center"/>
              <w:rPr>
                <w:rFonts w:hint="eastAsia" w:ascii="仿宋_GB2312" w:hAnsi="仿宋_GB2312" w:cs="仿宋_GB2312"/>
                <w:b/>
                <w:sz w:val="21"/>
                <w:szCs w:val="21"/>
              </w:rPr>
            </w:pPr>
          </w:p>
        </w:tc>
        <w:tc>
          <w:tcPr>
            <w:tcW w:w="952"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rPr>
              <w:t>核设施</w:t>
            </w:r>
          </w:p>
        </w:tc>
        <w:tc>
          <w:tcPr>
            <w:tcW w:w="1164"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rPr>
              <w:t>核技术工业应用</w:t>
            </w:r>
          </w:p>
        </w:tc>
        <w:tc>
          <w:tcPr>
            <w:tcW w:w="1633" w:type="dxa"/>
            <w:vMerge w:val="continue"/>
            <w:noWrap w:val="0"/>
            <w:tcMar>
              <w:top w:w="15" w:type="dxa"/>
              <w:left w:w="15" w:type="dxa"/>
              <w:right w:w="15" w:type="dxa"/>
            </w:tcMar>
            <w:vAlign w:val="center"/>
          </w:tcPr>
          <w:p>
            <w:pPr>
              <w:spacing w:line="300" w:lineRule="exact"/>
              <w:jc w:val="center"/>
              <w:rPr>
                <w:rFonts w:hint="eastAsia" w:ascii="仿宋_GB2312" w:hAnsi="仿宋_GB2312" w:cs="仿宋_GB2312"/>
                <w:b/>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sz w:val="21"/>
                <w:szCs w:val="21"/>
              </w:rPr>
              <w:t>1</w:t>
            </w:r>
          </w:p>
        </w:tc>
        <w:tc>
          <w:tcPr>
            <w:tcW w:w="3873" w:type="dxa"/>
            <w:noWrap w:val="0"/>
            <w:tcMar>
              <w:top w:w="15" w:type="dxa"/>
              <w:left w:w="113" w:type="dxa"/>
              <w:right w:w="15" w:type="dxa"/>
            </w:tcMar>
            <w:vAlign w:val="center"/>
          </w:tcPr>
          <w:p>
            <w:pPr>
              <w:widowControl/>
              <w:spacing w:line="300" w:lineRule="exact"/>
              <w:jc w:val="left"/>
              <w:textAlignment w:val="center"/>
              <w:rPr>
                <w:rFonts w:ascii="仿宋_GB2312" w:hAnsi="仿宋_GB2312" w:cs="仿宋_GB2312"/>
                <w:sz w:val="21"/>
                <w:szCs w:val="21"/>
              </w:rPr>
            </w:pPr>
            <w:r>
              <w:rPr>
                <w:rFonts w:hint="eastAsia" w:ascii="仿宋_GB2312" w:hAnsi="仿宋_GB2312" w:cs="仿宋_GB2312"/>
                <w:sz w:val="21"/>
                <w:szCs w:val="21"/>
              </w:rPr>
              <w:t>伴生放射性矿放射防护检测</w:t>
            </w:r>
          </w:p>
        </w:tc>
        <w:tc>
          <w:tcPr>
            <w:tcW w:w="952"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164"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633" w:type="dxa"/>
            <w:noWrap w:val="0"/>
            <w:tcMar>
              <w:top w:w="15" w:type="dxa"/>
              <w:left w:w="15" w:type="dxa"/>
              <w:right w:w="15" w:type="dxa"/>
            </w:tcMar>
            <w:vAlign w:val="center"/>
          </w:tcPr>
          <w:p>
            <w:pPr>
              <w:tabs>
                <w:tab w:val="left" w:pos="14"/>
              </w:tabs>
              <w:spacing w:line="300" w:lineRule="exact"/>
              <w:ind w:left="27"/>
              <w:rPr>
                <w:rFonts w:hint="eastAsia" w:ascii="仿宋_GB2312" w:hAnsi="仿宋_GB2312" w:cs="仿宋_GB2312"/>
                <w:b/>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2</w:t>
            </w:r>
          </w:p>
        </w:tc>
        <w:tc>
          <w:tcPr>
            <w:tcW w:w="3873" w:type="dxa"/>
            <w:noWrap w:val="0"/>
            <w:tcMar>
              <w:top w:w="15" w:type="dxa"/>
              <w:left w:w="113" w:type="dxa"/>
              <w:right w:w="15" w:type="dxa"/>
            </w:tcMar>
            <w:vAlign w:val="center"/>
          </w:tcPr>
          <w:p>
            <w:pPr>
              <w:widowControl/>
              <w:spacing w:line="30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rPr>
              <w:t>行李包、车辆、集装箱等射线安全检查系统放射防护检测</w:t>
            </w:r>
          </w:p>
        </w:tc>
        <w:tc>
          <w:tcPr>
            <w:tcW w:w="952"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164"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w:t>
            </w:r>
          </w:p>
        </w:tc>
        <w:tc>
          <w:tcPr>
            <w:tcW w:w="1633" w:type="dxa"/>
            <w:noWrap w:val="0"/>
            <w:tcMar>
              <w:top w:w="15" w:type="dxa"/>
              <w:left w:w="15" w:type="dxa"/>
              <w:right w:w="15" w:type="dxa"/>
            </w:tcMar>
            <w:vAlign w:val="center"/>
          </w:tcPr>
          <w:p>
            <w:pPr>
              <w:tabs>
                <w:tab w:val="left" w:pos="14"/>
              </w:tabs>
              <w:spacing w:line="300" w:lineRule="exact"/>
              <w:ind w:left="27"/>
              <w:rPr>
                <w:rFonts w:hint="eastAsia" w:ascii="仿宋_GB2312" w:hAnsi="仿宋_GB2312" w:cs="仿宋_GB2312"/>
                <w:b/>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3</w:t>
            </w:r>
          </w:p>
        </w:tc>
        <w:tc>
          <w:tcPr>
            <w:tcW w:w="3873" w:type="dxa"/>
            <w:noWrap w:val="0"/>
            <w:tcMar>
              <w:top w:w="15" w:type="dxa"/>
              <w:left w:w="113" w:type="dxa"/>
              <w:right w:w="15" w:type="dxa"/>
            </w:tcMar>
            <w:vAlign w:val="center"/>
          </w:tcPr>
          <w:p>
            <w:pPr>
              <w:widowControl/>
              <w:spacing w:line="30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rPr>
              <w:t>工业射线探伤放射防护检测</w:t>
            </w:r>
          </w:p>
        </w:tc>
        <w:tc>
          <w:tcPr>
            <w:tcW w:w="952"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164"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633" w:type="dxa"/>
            <w:noWrap w:val="0"/>
            <w:tcMar>
              <w:top w:w="15" w:type="dxa"/>
              <w:left w:w="15" w:type="dxa"/>
              <w:right w:w="15" w:type="dxa"/>
            </w:tcMar>
            <w:vAlign w:val="center"/>
          </w:tcPr>
          <w:p>
            <w:pPr>
              <w:tabs>
                <w:tab w:val="left" w:pos="14"/>
              </w:tabs>
              <w:spacing w:line="300" w:lineRule="exact"/>
              <w:rPr>
                <w:rFonts w:hint="eastAsia" w:ascii="仿宋_GB2312" w:hAnsi="仿宋_GB2312" w:cs="仿宋_GB231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4</w:t>
            </w:r>
          </w:p>
        </w:tc>
        <w:tc>
          <w:tcPr>
            <w:tcW w:w="3873" w:type="dxa"/>
            <w:noWrap w:val="0"/>
            <w:tcMar>
              <w:top w:w="15" w:type="dxa"/>
              <w:left w:w="113" w:type="dxa"/>
              <w:right w:w="15" w:type="dxa"/>
            </w:tcMar>
            <w:vAlign w:val="center"/>
          </w:tcPr>
          <w:p>
            <w:pPr>
              <w:widowControl/>
              <w:spacing w:line="30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工业辐照</w:t>
            </w:r>
            <w:r>
              <w:rPr>
                <w:rFonts w:hint="eastAsia" w:ascii="仿宋_GB2312" w:hAnsi="仿宋_GB2312" w:cs="仿宋_GB2312"/>
                <w:sz w:val="21"/>
                <w:szCs w:val="21"/>
              </w:rPr>
              <w:t>放射防护检测</w:t>
            </w:r>
          </w:p>
        </w:tc>
        <w:tc>
          <w:tcPr>
            <w:tcW w:w="952"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164"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633" w:type="dxa"/>
            <w:noWrap w:val="0"/>
            <w:tcMar>
              <w:top w:w="15" w:type="dxa"/>
              <w:left w:w="15" w:type="dxa"/>
              <w:right w:w="15" w:type="dxa"/>
            </w:tcMar>
            <w:vAlign w:val="center"/>
          </w:tcPr>
          <w:p>
            <w:pPr>
              <w:tabs>
                <w:tab w:val="left" w:pos="14"/>
              </w:tabs>
              <w:spacing w:line="300" w:lineRule="exact"/>
              <w:rPr>
                <w:rFonts w:hint="eastAsia" w:ascii="仿宋_GB2312" w:hAnsi="仿宋_GB2312" w:cs="仿宋_GB2312"/>
                <w:sz w:val="21"/>
                <w:szCs w:val="21"/>
              </w:rPr>
            </w:pPr>
            <w:r>
              <w:rPr>
                <w:rFonts w:hint="eastAsia" w:ascii="仿宋_GB2312" w:hAnsi="仿宋_GB2312" w:cs="仿宋_GB2312"/>
                <w:kern w:val="0"/>
                <w:sz w:val="21"/>
                <w:szCs w:val="21"/>
                <w:lang w:bidi="ar"/>
              </w:rPr>
              <w:t>大型辐照装置除外</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5</w:t>
            </w:r>
          </w:p>
        </w:tc>
        <w:tc>
          <w:tcPr>
            <w:tcW w:w="3873" w:type="dxa"/>
            <w:noWrap w:val="0"/>
            <w:tcMar>
              <w:top w:w="15" w:type="dxa"/>
              <w:left w:w="113" w:type="dxa"/>
              <w:right w:w="15" w:type="dxa"/>
            </w:tcMar>
            <w:vAlign w:val="center"/>
          </w:tcPr>
          <w:p>
            <w:pPr>
              <w:widowControl/>
              <w:spacing w:line="30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rPr>
              <w:t>加速器放射防护检测</w:t>
            </w:r>
          </w:p>
        </w:tc>
        <w:tc>
          <w:tcPr>
            <w:tcW w:w="952"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164"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w:t>
            </w:r>
          </w:p>
        </w:tc>
        <w:tc>
          <w:tcPr>
            <w:tcW w:w="163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不含50MeV以上中、高能加速器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6</w:t>
            </w:r>
          </w:p>
        </w:tc>
        <w:tc>
          <w:tcPr>
            <w:tcW w:w="3873" w:type="dxa"/>
            <w:noWrap w:val="0"/>
            <w:tcMar>
              <w:top w:w="15" w:type="dxa"/>
              <w:left w:w="113" w:type="dxa"/>
              <w:right w:w="15" w:type="dxa"/>
            </w:tcMar>
            <w:vAlign w:val="center"/>
          </w:tcPr>
          <w:p>
            <w:pPr>
              <w:widowControl/>
              <w:spacing w:line="30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rPr>
              <w:t>含密封源仪表放射防护检测</w:t>
            </w:r>
          </w:p>
        </w:tc>
        <w:tc>
          <w:tcPr>
            <w:tcW w:w="952"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164"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633" w:type="dxa"/>
            <w:noWrap w:val="0"/>
            <w:tcMar>
              <w:top w:w="15" w:type="dxa"/>
              <w:left w:w="15" w:type="dxa"/>
              <w:right w:w="15" w:type="dxa"/>
            </w:tcMar>
            <w:vAlign w:val="center"/>
          </w:tcPr>
          <w:p>
            <w:pPr>
              <w:tabs>
                <w:tab w:val="left" w:pos="14"/>
              </w:tabs>
              <w:spacing w:line="300" w:lineRule="exact"/>
              <w:rPr>
                <w:rFonts w:hint="eastAsia" w:ascii="仿宋_GB2312" w:hAnsi="仿宋_GB2312" w:cs="仿宋_GB231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
                <w:sz w:val="21"/>
                <w:szCs w:val="21"/>
              </w:rPr>
            </w:pPr>
            <w:r>
              <w:rPr>
                <w:rFonts w:hint="eastAsia" w:ascii="仿宋_GB2312" w:hAnsi="仿宋_GB2312" w:cs="仿宋_GB2312"/>
                <w:kern w:val="0"/>
                <w:sz w:val="21"/>
                <w:szCs w:val="21"/>
              </w:rPr>
              <w:t>7</w:t>
            </w:r>
          </w:p>
        </w:tc>
        <w:tc>
          <w:tcPr>
            <w:tcW w:w="3873" w:type="dxa"/>
            <w:noWrap w:val="0"/>
            <w:tcMar>
              <w:top w:w="15" w:type="dxa"/>
              <w:left w:w="113" w:type="dxa"/>
              <w:right w:w="15" w:type="dxa"/>
            </w:tcMar>
            <w:vAlign w:val="center"/>
          </w:tcPr>
          <w:p>
            <w:pPr>
              <w:widowControl/>
              <w:spacing w:line="30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rPr>
              <w:t>密封放射源及密封γ放射源容器放射防护检测</w:t>
            </w:r>
          </w:p>
        </w:tc>
        <w:tc>
          <w:tcPr>
            <w:tcW w:w="952"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164"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633" w:type="dxa"/>
            <w:noWrap w:val="0"/>
            <w:tcMar>
              <w:top w:w="15" w:type="dxa"/>
              <w:left w:w="15" w:type="dxa"/>
              <w:right w:w="15" w:type="dxa"/>
            </w:tcMar>
            <w:vAlign w:val="center"/>
          </w:tcPr>
          <w:p>
            <w:pPr>
              <w:tabs>
                <w:tab w:val="left" w:pos="14"/>
              </w:tabs>
              <w:spacing w:line="300" w:lineRule="exact"/>
              <w:rPr>
                <w:rFonts w:hint="eastAsia" w:ascii="仿宋_GB2312" w:hAnsi="仿宋_GB2312" w:cs="仿宋_GB231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8</w:t>
            </w:r>
          </w:p>
        </w:tc>
        <w:tc>
          <w:tcPr>
            <w:tcW w:w="3873" w:type="dxa"/>
            <w:noWrap w:val="0"/>
            <w:tcMar>
              <w:top w:w="15" w:type="dxa"/>
              <w:left w:w="113" w:type="dxa"/>
              <w:right w:w="15" w:type="dxa"/>
            </w:tcMar>
            <w:vAlign w:val="center"/>
          </w:tcPr>
          <w:p>
            <w:pPr>
              <w:widowControl/>
              <w:spacing w:line="30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rPr>
              <w:t>非密封放射性物质放射防护检测</w:t>
            </w:r>
          </w:p>
        </w:tc>
        <w:tc>
          <w:tcPr>
            <w:tcW w:w="952"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164"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w:t>
            </w:r>
          </w:p>
        </w:tc>
        <w:tc>
          <w:tcPr>
            <w:tcW w:w="163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9</w:t>
            </w:r>
          </w:p>
        </w:tc>
        <w:tc>
          <w:tcPr>
            <w:tcW w:w="3873" w:type="dxa"/>
            <w:noWrap w:val="0"/>
            <w:tcMar>
              <w:top w:w="15" w:type="dxa"/>
              <w:left w:w="113" w:type="dxa"/>
              <w:right w:w="15" w:type="dxa"/>
            </w:tcMar>
            <w:vAlign w:val="center"/>
          </w:tcPr>
          <w:p>
            <w:pPr>
              <w:widowControl/>
              <w:spacing w:line="300" w:lineRule="exact"/>
              <w:jc w:val="left"/>
              <w:textAlignment w:val="center"/>
              <w:rPr>
                <w:rFonts w:hint="eastAsia" w:ascii="仿宋_GB2312" w:hAnsi="仿宋_GB2312" w:cs="仿宋_GB2312"/>
                <w:sz w:val="21"/>
                <w:szCs w:val="21"/>
              </w:rPr>
            </w:pPr>
            <w:r>
              <w:rPr>
                <w:rFonts w:hint="eastAsia" w:ascii="仿宋_GB2312" w:hAnsi="仿宋_GB2312" w:cs="仿宋_GB2312"/>
                <w:sz w:val="21"/>
                <w:szCs w:val="21"/>
              </w:rPr>
              <w:t>X射线衍射仪和荧光分析仪工作场所放射防护检测</w:t>
            </w:r>
          </w:p>
        </w:tc>
        <w:tc>
          <w:tcPr>
            <w:tcW w:w="952"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sz w:val="21"/>
                <w:szCs w:val="21"/>
              </w:rPr>
              <w:t>/</w:t>
            </w:r>
          </w:p>
        </w:tc>
        <w:tc>
          <w:tcPr>
            <w:tcW w:w="1164"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633" w:type="dxa"/>
            <w:noWrap w:val="0"/>
            <w:tcMar>
              <w:top w:w="15" w:type="dxa"/>
              <w:left w:w="15" w:type="dxa"/>
              <w:right w:w="15" w:type="dxa"/>
            </w:tcMar>
            <w:vAlign w:val="center"/>
          </w:tcPr>
          <w:p>
            <w:pPr>
              <w:tabs>
                <w:tab w:val="left" w:pos="14"/>
              </w:tabs>
              <w:spacing w:line="300" w:lineRule="exact"/>
              <w:rPr>
                <w:rFonts w:hint="eastAsia" w:ascii="仿宋_GB2312" w:hAnsi="仿宋_GB2312" w:cs="仿宋_GB231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10</w:t>
            </w:r>
          </w:p>
        </w:tc>
        <w:tc>
          <w:tcPr>
            <w:tcW w:w="3873" w:type="dxa"/>
            <w:noWrap w:val="0"/>
            <w:tcMar>
              <w:top w:w="15" w:type="dxa"/>
              <w:left w:w="113" w:type="dxa"/>
              <w:right w:w="15" w:type="dxa"/>
            </w:tcMar>
            <w:vAlign w:val="center"/>
          </w:tcPr>
          <w:p>
            <w:pPr>
              <w:widowControl/>
              <w:spacing w:line="300" w:lineRule="exact"/>
              <w:jc w:val="left"/>
              <w:textAlignment w:val="center"/>
              <w:rPr>
                <w:rFonts w:hint="eastAsia" w:ascii="仿宋_GB2312" w:hAnsi="仿宋_GB2312" w:cs="仿宋_GB2312"/>
                <w:sz w:val="21"/>
                <w:szCs w:val="21"/>
              </w:rPr>
            </w:pPr>
            <w:r>
              <w:rPr>
                <w:rFonts w:hint="eastAsia" w:ascii="仿宋_GB2312" w:hAnsi="仿宋_GB2312" w:cs="仿宋_GB2312"/>
                <w:sz w:val="21"/>
                <w:szCs w:val="21"/>
              </w:rPr>
              <w:t>离子注入、静电消除、电子束焊接等其他核技术工业应用放射防护检测</w:t>
            </w:r>
          </w:p>
        </w:tc>
        <w:tc>
          <w:tcPr>
            <w:tcW w:w="952"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sz w:val="21"/>
                <w:szCs w:val="21"/>
              </w:rPr>
              <w:t>/</w:t>
            </w:r>
          </w:p>
        </w:tc>
        <w:tc>
          <w:tcPr>
            <w:tcW w:w="1164"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lang w:bidi="ar"/>
              </w:rPr>
              <w:t>☆</w:t>
            </w:r>
          </w:p>
        </w:tc>
        <w:tc>
          <w:tcPr>
            <w:tcW w:w="1633" w:type="dxa"/>
            <w:noWrap w:val="0"/>
            <w:tcMar>
              <w:top w:w="15" w:type="dxa"/>
              <w:left w:w="15" w:type="dxa"/>
              <w:right w:w="15" w:type="dxa"/>
            </w:tcMar>
            <w:vAlign w:val="center"/>
          </w:tcPr>
          <w:p>
            <w:pPr>
              <w:tabs>
                <w:tab w:val="left" w:pos="14"/>
              </w:tabs>
              <w:spacing w:line="300" w:lineRule="exact"/>
              <w:rPr>
                <w:rFonts w:hint="eastAsia" w:ascii="仿宋_GB2312" w:hAnsi="仿宋_GB2312" w:cs="仿宋_GB231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11</w:t>
            </w:r>
          </w:p>
        </w:tc>
        <w:tc>
          <w:tcPr>
            <w:tcW w:w="3873" w:type="dxa"/>
            <w:noWrap w:val="0"/>
            <w:tcMar>
              <w:top w:w="15" w:type="dxa"/>
              <w:left w:w="113" w:type="dxa"/>
              <w:right w:w="15" w:type="dxa"/>
            </w:tcMar>
            <w:vAlign w:val="center"/>
          </w:tcPr>
          <w:p>
            <w:pPr>
              <w:widowControl/>
              <w:spacing w:line="30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核动力厂和其他反应堆</w:t>
            </w:r>
            <w:r>
              <w:rPr>
                <w:rFonts w:hint="eastAsia" w:ascii="仿宋_GB2312" w:hAnsi="仿宋_GB2312" w:cs="仿宋_GB2312"/>
                <w:kern w:val="0"/>
                <w:sz w:val="21"/>
                <w:szCs w:val="21"/>
              </w:rPr>
              <w:t>放射防护检测</w:t>
            </w:r>
          </w:p>
        </w:tc>
        <w:tc>
          <w:tcPr>
            <w:tcW w:w="952"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164"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633" w:type="dxa"/>
            <w:noWrap w:val="0"/>
            <w:tcMar>
              <w:top w:w="15" w:type="dxa"/>
              <w:left w:w="15" w:type="dxa"/>
              <w:right w:w="15" w:type="dxa"/>
            </w:tcMar>
            <w:vAlign w:val="center"/>
          </w:tcPr>
          <w:p>
            <w:pPr>
              <w:tabs>
                <w:tab w:val="left" w:pos="14"/>
              </w:tabs>
              <w:spacing w:line="300" w:lineRule="exact"/>
              <w:rPr>
                <w:rFonts w:hint="eastAsia" w:ascii="仿宋_GB2312" w:hAnsi="仿宋_GB2312" w:cs="仿宋_GB231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12</w:t>
            </w:r>
          </w:p>
        </w:tc>
        <w:tc>
          <w:tcPr>
            <w:tcW w:w="3873" w:type="dxa"/>
            <w:noWrap w:val="0"/>
            <w:tcMar>
              <w:top w:w="15" w:type="dxa"/>
              <w:left w:w="113" w:type="dxa"/>
              <w:right w:w="15" w:type="dxa"/>
            </w:tcMar>
            <w:vAlign w:val="center"/>
          </w:tcPr>
          <w:p>
            <w:pPr>
              <w:widowControl/>
              <w:spacing w:line="30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核燃料生产、加工、贮存和后处理设施放射防护检测</w:t>
            </w:r>
          </w:p>
        </w:tc>
        <w:tc>
          <w:tcPr>
            <w:tcW w:w="952"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164"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633" w:type="dxa"/>
            <w:noWrap w:val="0"/>
            <w:tcMar>
              <w:top w:w="15" w:type="dxa"/>
              <w:left w:w="15" w:type="dxa"/>
              <w:right w:w="15" w:type="dxa"/>
            </w:tcMar>
            <w:vAlign w:val="center"/>
          </w:tcPr>
          <w:p>
            <w:pPr>
              <w:tabs>
                <w:tab w:val="left" w:pos="14"/>
              </w:tabs>
              <w:spacing w:line="300" w:lineRule="exact"/>
              <w:rPr>
                <w:rFonts w:hint="eastAsia" w:ascii="仿宋_GB2312" w:hAnsi="仿宋_GB2312" w:cs="仿宋_GB231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13</w:t>
            </w:r>
          </w:p>
        </w:tc>
        <w:tc>
          <w:tcPr>
            <w:tcW w:w="3873" w:type="dxa"/>
            <w:noWrap w:val="0"/>
            <w:tcMar>
              <w:top w:w="15" w:type="dxa"/>
              <w:left w:w="113" w:type="dxa"/>
              <w:right w:w="15" w:type="dxa"/>
            </w:tcMar>
            <w:vAlign w:val="center"/>
          </w:tcPr>
          <w:p>
            <w:pPr>
              <w:widowControl/>
              <w:spacing w:line="30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放射性废物的处理和处置设施放射防护检测</w:t>
            </w:r>
          </w:p>
        </w:tc>
        <w:tc>
          <w:tcPr>
            <w:tcW w:w="952"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r>
              <w:rPr>
                <w:rFonts w:hint="eastAsia" w:ascii="仿宋_GB2312" w:hAnsi="仿宋_GB2312" w:cs="仿宋_GB2312"/>
                <w:kern w:val="0"/>
                <w:sz w:val="21"/>
                <w:szCs w:val="21"/>
              </w:rPr>
              <w:t>★</w:t>
            </w:r>
          </w:p>
        </w:tc>
        <w:tc>
          <w:tcPr>
            <w:tcW w:w="1164"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633" w:type="dxa"/>
            <w:noWrap w:val="0"/>
            <w:tcMar>
              <w:top w:w="15" w:type="dxa"/>
              <w:left w:w="15" w:type="dxa"/>
              <w:right w:w="15" w:type="dxa"/>
            </w:tcMar>
            <w:vAlign w:val="center"/>
          </w:tcPr>
          <w:p>
            <w:pPr>
              <w:tabs>
                <w:tab w:val="left" w:pos="14"/>
              </w:tabs>
              <w:spacing w:line="300" w:lineRule="exact"/>
              <w:rPr>
                <w:rFonts w:hint="eastAsia" w:ascii="仿宋_GB2312" w:hAnsi="仿宋_GB2312" w:cs="仿宋_GB231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noWrap w:val="0"/>
            <w:tcMar>
              <w:top w:w="15" w:type="dxa"/>
              <w:left w:w="15" w:type="dxa"/>
              <w:right w:w="15" w:type="dxa"/>
            </w:tcMar>
            <w:vAlign w:val="center"/>
          </w:tcPr>
          <w:p>
            <w:pPr>
              <w:widowControl/>
              <w:spacing w:line="30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14</w:t>
            </w:r>
          </w:p>
        </w:tc>
        <w:tc>
          <w:tcPr>
            <w:tcW w:w="3873" w:type="dxa"/>
            <w:noWrap w:val="0"/>
            <w:tcMar>
              <w:top w:w="15" w:type="dxa"/>
              <w:left w:w="113" w:type="dxa"/>
              <w:right w:w="15" w:type="dxa"/>
            </w:tcMar>
            <w:vAlign w:val="center"/>
          </w:tcPr>
          <w:p>
            <w:pPr>
              <w:widowControl/>
              <w:spacing w:line="30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50MeV以上中、高能加速器</w:t>
            </w:r>
            <w:r>
              <w:rPr>
                <w:rFonts w:hint="eastAsia" w:ascii="仿宋_GB2312" w:hAnsi="仿宋_GB2312" w:cs="仿宋_GB2312"/>
                <w:kern w:val="0"/>
                <w:sz w:val="21"/>
                <w:szCs w:val="21"/>
              </w:rPr>
              <w:t>放射防护检测</w:t>
            </w:r>
          </w:p>
        </w:tc>
        <w:tc>
          <w:tcPr>
            <w:tcW w:w="952"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164"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633" w:type="dxa"/>
            <w:noWrap w:val="0"/>
            <w:tcMar>
              <w:top w:w="15" w:type="dxa"/>
              <w:left w:w="15" w:type="dxa"/>
              <w:right w:w="15" w:type="dxa"/>
            </w:tcMar>
            <w:vAlign w:val="center"/>
          </w:tcPr>
          <w:p>
            <w:pPr>
              <w:tabs>
                <w:tab w:val="left" w:pos="14"/>
              </w:tabs>
              <w:spacing w:line="300" w:lineRule="exact"/>
              <w:rPr>
                <w:rFonts w:hint="eastAsia" w:ascii="仿宋_GB2312" w:hAnsi="仿宋_GB2312" w:cs="仿宋_GB231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noWrap w:val="0"/>
            <w:tcMar>
              <w:top w:w="15" w:type="dxa"/>
              <w:left w:w="15" w:type="dxa"/>
              <w:right w:w="15" w:type="dxa"/>
            </w:tcMar>
            <w:vAlign w:val="top"/>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15</w:t>
            </w:r>
          </w:p>
        </w:tc>
        <w:tc>
          <w:tcPr>
            <w:tcW w:w="3873" w:type="dxa"/>
            <w:noWrap w:val="0"/>
            <w:tcMar>
              <w:top w:w="15" w:type="dxa"/>
              <w:left w:w="113" w:type="dxa"/>
              <w:right w:w="15" w:type="dxa"/>
            </w:tcMar>
            <w:vAlign w:val="center"/>
          </w:tcPr>
          <w:p>
            <w:pPr>
              <w:widowControl/>
              <w:spacing w:line="300" w:lineRule="exact"/>
              <w:jc w:val="left"/>
              <w:textAlignment w:val="center"/>
              <w:rPr>
                <w:rFonts w:ascii="仿宋_GB2312" w:hAnsi="仿宋_GB2312" w:cs="仿宋_GB2312"/>
                <w:kern w:val="0"/>
                <w:sz w:val="21"/>
                <w:szCs w:val="21"/>
                <w:lang w:bidi="ar"/>
              </w:rPr>
            </w:pPr>
            <w:r>
              <w:rPr>
                <w:rFonts w:hint="eastAsia" w:ascii="仿宋_GB2312" w:hAnsi="仿宋_GB2312" w:cs="仿宋_GB2312"/>
                <w:kern w:val="0"/>
                <w:sz w:val="21"/>
                <w:szCs w:val="21"/>
                <w:lang w:bidi="ar"/>
              </w:rPr>
              <w:t>大型辐照装置</w:t>
            </w:r>
            <w:r>
              <w:rPr>
                <w:rFonts w:hint="eastAsia" w:ascii="仿宋_GB2312" w:hAnsi="仿宋_GB2312" w:cs="仿宋_GB2312"/>
                <w:kern w:val="0"/>
                <w:sz w:val="21"/>
                <w:szCs w:val="21"/>
              </w:rPr>
              <w:t>放射防护检测</w:t>
            </w:r>
          </w:p>
        </w:tc>
        <w:tc>
          <w:tcPr>
            <w:tcW w:w="952"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r>
              <w:rPr>
                <w:rFonts w:hint="eastAsia" w:ascii="仿宋_GB2312" w:hAnsi="仿宋_GB2312" w:cs="仿宋_GB2312"/>
                <w:kern w:val="0"/>
                <w:sz w:val="21"/>
                <w:szCs w:val="21"/>
              </w:rPr>
              <w:t>★</w:t>
            </w:r>
          </w:p>
        </w:tc>
        <w:tc>
          <w:tcPr>
            <w:tcW w:w="1164"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p>
        </w:tc>
        <w:tc>
          <w:tcPr>
            <w:tcW w:w="1633" w:type="dxa"/>
            <w:noWrap w:val="0"/>
            <w:tcMar>
              <w:top w:w="15" w:type="dxa"/>
              <w:left w:w="15" w:type="dxa"/>
              <w:right w:w="15" w:type="dxa"/>
            </w:tcMar>
            <w:vAlign w:val="center"/>
          </w:tcPr>
          <w:p>
            <w:pPr>
              <w:tabs>
                <w:tab w:val="left" w:pos="14"/>
              </w:tabs>
              <w:spacing w:line="300" w:lineRule="exact"/>
              <w:rPr>
                <w:rFonts w:hint="eastAsia" w:ascii="仿宋_GB2312" w:hAnsi="仿宋_GB2312" w:cs="仿宋_GB231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noWrap w:val="0"/>
            <w:tcMar>
              <w:top w:w="15" w:type="dxa"/>
              <w:left w:w="15" w:type="dxa"/>
              <w:right w:w="15" w:type="dxa"/>
            </w:tcMar>
            <w:vAlign w:val="center"/>
          </w:tcPr>
          <w:p>
            <w:pPr>
              <w:widowControl/>
              <w:spacing w:line="30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16</w:t>
            </w:r>
          </w:p>
        </w:tc>
        <w:tc>
          <w:tcPr>
            <w:tcW w:w="3873" w:type="dxa"/>
            <w:noWrap w:val="0"/>
            <w:tcMar>
              <w:top w:w="15" w:type="dxa"/>
              <w:left w:w="113" w:type="dxa"/>
              <w:right w:w="15" w:type="dxa"/>
            </w:tcMar>
            <w:vAlign w:val="top"/>
          </w:tcPr>
          <w:p>
            <w:pPr>
              <w:widowControl/>
              <w:spacing w:line="300"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γ放射性核素分析</w:t>
            </w:r>
          </w:p>
        </w:tc>
        <w:tc>
          <w:tcPr>
            <w:tcW w:w="952" w:type="dxa"/>
            <w:noWrap w:val="0"/>
            <w:tcMar>
              <w:top w:w="15" w:type="dxa"/>
              <w:left w:w="15" w:type="dxa"/>
              <w:right w:w="15" w:type="dxa"/>
            </w:tcMar>
            <w:vAlign w:val="top"/>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w:t>
            </w:r>
          </w:p>
        </w:tc>
        <w:tc>
          <w:tcPr>
            <w:tcW w:w="1164"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63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noWrap w:val="0"/>
            <w:tcMar>
              <w:top w:w="15" w:type="dxa"/>
              <w:left w:w="15" w:type="dxa"/>
              <w:right w:w="15" w:type="dxa"/>
            </w:tcMar>
            <w:vAlign w:val="center"/>
          </w:tcPr>
          <w:p>
            <w:pPr>
              <w:widowControl/>
              <w:spacing w:line="30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17</w:t>
            </w:r>
          </w:p>
        </w:tc>
        <w:tc>
          <w:tcPr>
            <w:tcW w:w="3873" w:type="dxa"/>
            <w:noWrap w:val="0"/>
            <w:tcMar>
              <w:top w:w="15" w:type="dxa"/>
              <w:left w:w="113" w:type="dxa"/>
              <w:right w:w="15" w:type="dxa"/>
            </w:tcMar>
            <w:vAlign w:val="center"/>
          </w:tcPr>
          <w:p>
            <w:pPr>
              <w:widowControl/>
              <w:spacing w:line="300"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α放射性核素分析</w:t>
            </w:r>
          </w:p>
        </w:tc>
        <w:tc>
          <w:tcPr>
            <w:tcW w:w="952" w:type="dxa"/>
            <w:noWrap w:val="0"/>
            <w:tcMar>
              <w:top w:w="15" w:type="dxa"/>
              <w:left w:w="15" w:type="dxa"/>
              <w:right w:w="15" w:type="dxa"/>
            </w:tcMar>
            <w:vAlign w:val="top"/>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w:t>
            </w:r>
          </w:p>
        </w:tc>
        <w:tc>
          <w:tcPr>
            <w:tcW w:w="1164"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63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noWrap w:val="0"/>
            <w:tcMar>
              <w:top w:w="15" w:type="dxa"/>
              <w:left w:w="15" w:type="dxa"/>
              <w:right w:w="15" w:type="dxa"/>
            </w:tcMar>
            <w:vAlign w:val="center"/>
          </w:tcPr>
          <w:p>
            <w:pPr>
              <w:widowControl/>
              <w:spacing w:line="30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18</w:t>
            </w:r>
          </w:p>
        </w:tc>
        <w:tc>
          <w:tcPr>
            <w:tcW w:w="3873" w:type="dxa"/>
            <w:noWrap w:val="0"/>
            <w:tcMar>
              <w:top w:w="15" w:type="dxa"/>
              <w:left w:w="113" w:type="dxa"/>
              <w:right w:w="15" w:type="dxa"/>
            </w:tcMar>
            <w:vAlign w:val="center"/>
          </w:tcPr>
          <w:p>
            <w:pPr>
              <w:widowControl/>
              <w:spacing w:line="300"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β放射性核素分析</w:t>
            </w:r>
          </w:p>
        </w:tc>
        <w:tc>
          <w:tcPr>
            <w:tcW w:w="952" w:type="dxa"/>
            <w:noWrap w:val="0"/>
            <w:tcMar>
              <w:top w:w="15" w:type="dxa"/>
              <w:left w:w="15" w:type="dxa"/>
              <w:right w:w="15" w:type="dxa"/>
            </w:tcMar>
            <w:vAlign w:val="top"/>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w:t>
            </w:r>
          </w:p>
        </w:tc>
        <w:tc>
          <w:tcPr>
            <w:tcW w:w="1164"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63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noWrap w:val="0"/>
            <w:tcMar>
              <w:top w:w="15" w:type="dxa"/>
              <w:left w:w="15" w:type="dxa"/>
              <w:right w:w="15" w:type="dxa"/>
            </w:tcMar>
            <w:vAlign w:val="center"/>
          </w:tcPr>
          <w:p>
            <w:pPr>
              <w:widowControl/>
              <w:spacing w:line="30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19</w:t>
            </w:r>
          </w:p>
        </w:tc>
        <w:tc>
          <w:tcPr>
            <w:tcW w:w="3873" w:type="dxa"/>
            <w:noWrap w:val="0"/>
            <w:tcMar>
              <w:top w:w="15" w:type="dxa"/>
              <w:left w:w="113" w:type="dxa"/>
              <w:right w:w="15" w:type="dxa"/>
            </w:tcMar>
            <w:vAlign w:val="center"/>
          </w:tcPr>
          <w:p>
            <w:pPr>
              <w:widowControl/>
              <w:spacing w:line="300"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总α放射性分析</w:t>
            </w:r>
          </w:p>
        </w:tc>
        <w:tc>
          <w:tcPr>
            <w:tcW w:w="952" w:type="dxa"/>
            <w:noWrap w:val="0"/>
            <w:tcMar>
              <w:top w:w="15" w:type="dxa"/>
              <w:left w:w="15" w:type="dxa"/>
              <w:right w:w="15" w:type="dxa"/>
            </w:tcMar>
            <w:vAlign w:val="top"/>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w:t>
            </w:r>
          </w:p>
        </w:tc>
        <w:tc>
          <w:tcPr>
            <w:tcW w:w="1164"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63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noWrap w:val="0"/>
            <w:tcMar>
              <w:top w:w="15" w:type="dxa"/>
              <w:left w:w="15" w:type="dxa"/>
              <w:right w:w="15" w:type="dxa"/>
            </w:tcMar>
            <w:vAlign w:val="center"/>
          </w:tcPr>
          <w:p>
            <w:pPr>
              <w:widowControl/>
              <w:spacing w:line="30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20</w:t>
            </w:r>
          </w:p>
        </w:tc>
        <w:tc>
          <w:tcPr>
            <w:tcW w:w="3873" w:type="dxa"/>
            <w:noWrap w:val="0"/>
            <w:tcMar>
              <w:top w:w="15" w:type="dxa"/>
              <w:left w:w="113" w:type="dxa"/>
              <w:right w:w="15" w:type="dxa"/>
            </w:tcMar>
            <w:vAlign w:val="center"/>
          </w:tcPr>
          <w:p>
            <w:pPr>
              <w:widowControl/>
              <w:spacing w:line="300"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总β放射性分析</w:t>
            </w:r>
          </w:p>
        </w:tc>
        <w:tc>
          <w:tcPr>
            <w:tcW w:w="952" w:type="dxa"/>
            <w:noWrap w:val="0"/>
            <w:tcMar>
              <w:top w:w="15" w:type="dxa"/>
              <w:left w:w="15" w:type="dxa"/>
              <w:right w:w="15" w:type="dxa"/>
            </w:tcMar>
            <w:vAlign w:val="top"/>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w:t>
            </w:r>
          </w:p>
        </w:tc>
        <w:tc>
          <w:tcPr>
            <w:tcW w:w="1164"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63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noWrap w:val="0"/>
            <w:tcMar>
              <w:top w:w="15" w:type="dxa"/>
              <w:left w:w="15" w:type="dxa"/>
              <w:right w:w="15" w:type="dxa"/>
            </w:tcMar>
            <w:vAlign w:val="center"/>
          </w:tcPr>
          <w:p>
            <w:pPr>
              <w:widowControl/>
              <w:spacing w:line="30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21</w:t>
            </w:r>
          </w:p>
        </w:tc>
        <w:tc>
          <w:tcPr>
            <w:tcW w:w="3873" w:type="dxa"/>
            <w:noWrap w:val="0"/>
            <w:tcMar>
              <w:top w:w="15" w:type="dxa"/>
              <w:left w:w="113" w:type="dxa"/>
              <w:right w:w="15" w:type="dxa"/>
            </w:tcMar>
            <w:vAlign w:val="top"/>
          </w:tcPr>
          <w:p>
            <w:pPr>
              <w:widowControl/>
              <w:spacing w:line="300"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氡及其子体检测</w:t>
            </w:r>
          </w:p>
        </w:tc>
        <w:tc>
          <w:tcPr>
            <w:tcW w:w="952" w:type="dxa"/>
            <w:noWrap w:val="0"/>
            <w:tcMar>
              <w:top w:w="15" w:type="dxa"/>
              <w:left w:w="15" w:type="dxa"/>
              <w:right w:w="15" w:type="dxa"/>
            </w:tcMar>
            <w:vAlign w:val="top"/>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w:t>
            </w:r>
          </w:p>
        </w:tc>
        <w:tc>
          <w:tcPr>
            <w:tcW w:w="1164"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63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p>
        </w:tc>
      </w:tr>
    </w:tbl>
    <w:p>
      <w:pPr>
        <w:adjustRightInd w:val="0"/>
        <w:snapToGrid w:val="0"/>
        <w:spacing w:line="260" w:lineRule="auto"/>
        <w:jc w:val="left"/>
        <w:rPr>
          <w:rFonts w:hint="eastAsia" w:ascii="仿宋_GB2312" w:hAnsi="仿宋_GB2312" w:cs="仿宋_GB2312"/>
          <w:sz w:val="21"/>
          <w:szCs w:val="21"/>
        </w:rPr>
      </w:pPr>
      <w:r>
        <w:rPr>
          <w:rFonts w:hint="eastAsia" w:ascii="仿宋_GB2312" w:hAnsi="仿宋_GB2312" w:cs="仿宋_GB2312"/>
          <w:sz w:val="21"/>
          <w:szCs w:val="21"/>
        </w:rPr>
        <w:t>注：1.标注“★”为重点检测项目。申请“核设施”业务范围的，具有标注“★”的检测能力应不少于6项，申请“核技术工业应用”业务范围的，具有标注“★”的检测能力应不少于8项，相关检测能力须经专家现场考核认定。</w:t>
      </w:r>
    </w:p>
    <w:p>
      <w:pPr>
        <w:adjustRightInd w:val="0"/>
        <w:snapToGrid w:val="0"/>
        <w:spacing w:line="260" w:lineRule="auto"/>
        <w:ind w:firstLine="420" w:firstLineChars="200"/>
        <w:jc w:val="left"/>
        <w:rPr>
          <w:rFonts w:hint="eastAsia" w:ascii="仿宋_GB2312" w:hAnsi="仿宋_GB2312" w:cs="仿宋_GB2312"/>
          <w:sz w:val="21"/>
          <w:szCs w:val="21"/>
        </w:rPr>
      </w:pPr>
      <w:r>
        <w:rPr>
          <w:rFonts w:hint="eastAsia" w:ascii="仿宋_GB2312" w:hAnsi="仿宋_GB2312" w:cs="仿宋_GB2312"/>
          <w:sz w:val="21"/>
          <w:szCs w:val="21"/>
        </w:rPr>
        <w:t>2.标注“☆”为一般检测项目，机构根据工作实际需要申请相关检测项目。</w:t>
      </w:r>
    </w:p>
    <w:p>
      <w:pPr>
        <w:widowControl/>
        <w:spacing w:line="340" w:lineRule="exact"/>
        <w:jc w:val="left"/>
        <w:textAlignment w:val="center"/>
        <w:rPr>
          <w:rFonts w:ascii="仿宋_GB2312" w:hAnsi="仿宋_GB2312" w:cs="仿宋_GB2312"/>
          <w:sz w:val="24"/>
        </w:rPr>
      </w:pPr>
      <w:r>
        <w:rPr>
          <w:rFonts w:hint="eastAsia" w:ascii="仿宋_GB2312" w:hAnsi="仿宋_GB2312" w:cs="仿宋_GB2312"/>
          <w:sz w:val="21"/>
          <w:szCs w:val="21"/>
        </w:rPr>
        <w:t>3.标注“/”的检测项目不做要求。</w:t>
      </w:r>
    </w:p>
    <w:p>
      <w:pPr>
        <w:ind w:right="560"/>
        <w:jc w:val="right"/>
        <w:rPr>
          <w:rFonts w:hint="eastAsia" w:eastAsia="仿宋_GB2312"/>
          <w:lang w:val="en-US" w:eastAsia="zh-CN"/>
        </w:rPr>
      </w:pPr>
    </w:p>
    <w:sectPr>
      <w:headerReference r:id="rId9" w:type="first"/>
      <w:footerReference r:id="rId12" w:type="first"/>
      <w:headerReference r:id="rId7" w:type="default"/>
      <w:footerReference r:id="rId10" w:type="default"/>
      <w:headerReference r:id="rId8" w:type="even"/>
      <w:footerReference r:id="rId11" w:type="even"/>
      <w:pgSz w:w="11906" w:h="16838"/>
      <w:pgMar w:top="1440" w:right="1800" w:bottom="1440" w:left="1800" w:header="283" w:footer="283" w:gutter="0"/>
      <w:pgBorders>
        <w:top w:val="none" w:sz="0" w:space="0"/>
        <w:left w:val="none" w:sz="0" w:space="0"/>
        <w:bottom w:val="none" w:sz="0" w:space="0"/>
        <w:right w:val="none" w:sz="0" w:space="0"/>
      </w:pgBorders>
      <w:cols w:space="720" w:num="1"/>
      <w:docGrid w:type="lines" w:linePitch="435"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赵士雄" w:date="2021-09-21T15:12:18Z" w:initials="">
    <w:p w14:paraId="2F363B9E">
      <w:pPr>
        <w:pStyle w:val="6"/>
        <w:rPr>
          <w:rFonts w:hint="default" w:eastAsia="仿宋_GB2312"/>
          <w:lang w:val="en-US" w:eastAsia="zh-CN"/>
        </w:rPr>
      </w:pPr>
      <w:r>
        <w:rPr>
          <w:rFonts w:hint="eastAsia"/>
          <w:lang w:val="en-US" w:eastAsia="zh-CN"/>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F363B9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ascii="Calibri" w:hAnsi="Calibri" w:eastAsia="宋体"/>
        <w:sz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47</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8"/>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47</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8"/>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72</w:t>
                    </w:r>
                    <w:r>
                      <w:rPr>
                        <w:rFonts w:hint="eastAsia"/>
                        <w:lang w:eastAsia="zh-CN"/>
                      </w:rPr>
                      <w:fldChar w:fldCharType="end"/>
                    </w:r>
                  </w:p>
                </w:txbxContent>
              </v:textbox>
            </v:shape>
          </w:pict>
        </mc:Fallback>
      </mc:AlternateContent>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ascii="Calibri" w:hAnsi="Calibri" w:eastAsia="宋体"/>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0E918"/>
    <w:multiLevelType w:val="singleLevel"/>
    <w:tmpl w:val="56D0E918"/>
    <w:lvl w:ilvl="0" w:tentative="0">
      <w:start w:val="1"/>
      <w:numFmt w:val="decimal"/>
      <w:lvlText w:val="(%1)"/>
      <w:lvlJc w:val="left"/>
      <w:pPr>
        <w:ind w:left="425" w:hanging="425"/>
      </w:pPr>
      <w:rPr>
        <w:rFonts w:hint="default"/>
      </w:rPr>
    </w:lvl>
  </w:abstractNum>
  <w:abstractNum w:abstractNumId="1">
    <w:nsid w:val="57344E39"/>
    <w:multiLevelType w:val="singleLevel"/>
    <w:tmpl w:val="57344E39"/>
    <w:lvl w:ilvl="0" w:tentative="0">
      <w:start w:val="1"/>
      <w:numFmt w:val="decimal"/>
      <w:suff w:val="nothing"/>
      <w:lvlText w:val="%1."/>
      <w:lvlJc w:val="left"/>
    </w:lvl>
  </w:abstractNum>
  <w:abstractNum w:abstractNumId="2">
    <w:nsid w:val="577A5563"/>
    <w:multiLevelType w:val="singleLevel"/>
    <w:tmpl w:val="577A5563"/>
    <w:lvl w:ilvl="0" w:tentative="0">
      <w:start w:val="1"/>
      <w:numFmt w:val="decimal"/>
      <w:suff w:val="nothing"/>
      <w:lvlText w:val="%1."/>
      <w:lvlJc w:val="left"/>
    </w:lvl>
  </w:abstractNum>
  <w:abstractNum w:abstractNumId="3">
    <w:nsid w:val="5A5DB671"/>
    <w:multiLevelType w:val="singleLevel"/>
    <w:tmpl w:val="5A5DB671"/>
    <w:lvl w:ilvl="0" w:tentative="0">
      <w:start w:val="1"/>
      <w:numFmt w:val="decimal"/>
      <w:lvlText w:val="(%1)"/>
      <w:lvlJc w:val="left"/>
      <w:pPr>
        <w:tabs>
          <w:tab w:val="left" w:pos="0"/>
        </w:tabs>
        <w:ind w:left="0" w:firstLine="0"/>
      </w:pPr>
      <w:rPr>
        <w:rFonts w:hint="default"/>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赵士雄">
    <w15:presenceInfo w15:providerId="WPS Office" w15:userId="26231959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HorizontalSpacing w:val="160"/>
  <w:drawingGridVerticalSpacing w:val="435"/>
  <w:displayHorizontalDrawingGridEvery w:val="0"/>
  <w:displayVerticalDrawingGridEvery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A31"/>
    <w:rsid w:val="00000EF5"/>
    <w:rsid w:val="00002364"/>
    <w:rsid w:val="00007315"/>
    <w:rsid w:val="00011E08"/>
    <w:rsid w:val="000219CE"/>
    <w:rsid w:val="0005140D"/>
    <w:rsid w:val="00081A2A"/>
    <w:rsid w:val="00086409"/>
    <w:rsid w:val="00097D1C"/>
    <w:rsid w:val="000B4B11"/>
    <w:rsid w:val="001034B3"/>
    <w:rsid w:val="00115210"/>
    <w:rsid w:val="00121BE4"/>
    <w:rsid w:val="00155A42"/>
    <w:rsid w:val="001B2AB5"/>
    <w:rsid w:val="001C28BC"/>
    <w:rsid w:val="001D359F"/>
    <w:rsid w:val="0020483B"/>
    <w:rsid w:val="00251477"/>
    <w:rsid w:val="00273879"/>
    <w:rsid w:val="002A3AF6"/>
    <w:rsid w:val="00307A5A"/>
    <w:rsid w:val="0031240C"/>
    <w:rsid w:val="00313187"/>
    <w:rsid w:val="00372E7E"/>
    <w:rsid w:val="00373883"/>
    <w:rsid w:val="00382FEB"/>
    <w:rsid w:val="003920EB"/>
    <w:rsid w:val="003C629A"/>
    <w:rsid w:val="003E4392"/>
    <w:rsid w:val="003E78DC"/>
    <w:rsid w:val="003F13A4"/>
    <w:rsid w:val="00457DC8"/>
    <w:rsid w:val="00465284"/>
    <w:rsid w:val="0047723C"/>
    <w:rsid w:val="00492D62"/>
    <w:rsid w:val="00493766"/>
    <w:rsid w:val="00495027"/>
    <w:rsid w:val="004A0DFD"/>
    <w:rsid w:val="004A2105"/>
    <w:rsid w:val="004D01DF"/>
    <w:rsid w:val="004E689E"/>
    <w:rsid w:val="00526247"/>
    <w:rsid w:val="00545DD3"/>
    <w:rsid w:val="00553A85"/>
    <w:rsid w:val="00564F9C"/>
    <w:rsid w:val="00566868"/>
    <w:rsid w:val="005878DA"/>
    <w:rsid w:val="00615906"/>
    <w:rsid w:val="0061720E"/>
    <w:rsid w:val="006407AE"/>
    <w:rsid w:val="00646B60"/>
    <w:rsid w:val="00652B0D"/>
    <w:rsid w:val="00661C51"/>
    <w:rsid w:val="006638E3"/>
    <w:rsid w:val="006706FD"/>
    <w:rsid w:val="006A3F6E"/>
    <w:rsid w:val="006C7598"/>
    <w:rsid w:val="00772733"/>
    <w:rsid w:val="007A4254"/>
    <w:rsid w:val="007C3681"/>
    <w:rsid w:val="007D66BE"/>
    <w:rsid w:val="007F0E29"/>
    <w:rsid w:val="00807948"/>
    <w:rsid w:val="00820B45"/>
    <w:rsid w:val="008354DF"/>
    <w:rsid w:val="00836021"/>
    <w:rsid w:val="008737EB"/>
    <w:rsid w:val="008745B4"/>
    <w:rsid w:val="00877120"/>
    <w:rsid w:val="008B3737"/>
    <w:rsid w:val="008E01F6"/>
    <w:rsid w:val="009835A4"/>
    <w:rsid w:val="009A3701"/>
    <w:rsid w:val="009B1342"/>
    <w:rsid w:val="009B644E"/>
    <w:rsid w:val="009C1320"/>
    <w:rsid w:val="009F64D9"/>
    <w:rsid w:val="00A15D50"/>
    <w:rsid w:val="00A162A9"/>
    <w:rsid w:val="00A206CA"/>
    <w:rsid w:val="00A23AF6"/>
    <w:rsid w:val="00A6576C"/>
    <w:rsid w:val="00A733D5"/>
    <w:rsid w:val="00AC7E90"/>
    <w:rsid w:val="00AD06F5"/>
    <w:rsid w:val="00AE6E40"/>
    <w:rsid w:val="00B01ABE"/>
    <w:rsid w:val="00B26083"/>
    <w:rsid w:val="00B42CB1"/>
    <w:rsid w:val="00B93384"/>
    <w:rsid w:val="00BB616D"/>
    <w:rsid w:val="00C01092"/>
    <w:rsid w:val="00C413C8"/>
    <w:rsid w:val="00C43CC2"/>
    <w:rsid w:val="00C44300"/>
    <w:rsid w:val="00C8277D"/>
    <w:rsid w:val="00CA0DFB"/>
    <w:rsid w:val="00CC1042"/>
    <w:rsid w:val="00CD1DDD"/>
    <w:rsid w:val="00CE3DAB"/>
    <w:rsid w:val="00D1638F"/>
    <w:rsid w:val="00D27951"/>
    <w:rsid w:val="00D32330"/>
    <w:rsid w:val="00D43C81"/>
    <w:rsid w:val="00D96A0B"/>
    <w:rsid w:val="00DB5882"/>
    <w:rsid w:val="00DD0A7E"/>
    <w:rsid w:val="00E35FD5"/>
    <w:rsid w:val="00EB2A31"/>
    <w:rsid w:val="00EB3FE1"/>
    <w:rsid w:val="00EC6B6F"/>
    <w:rsid w:val="00EC794D"/>
    <w:rsid w:val="00F242CC"/>
    <w:rsid w:val="00F35BCE"/>
    <w:rsid w:val="00F768BF"/>
    <w:rsid w:val="00F77F8B"/>
    <w:rsid w:val="00F95589"/>
    <w:rsid w:val="00FA0A56"/>
    <w:rsid w:val="00FC0F34"/>
    <w:rsid w:val="00FE2617"/>
    <w:rsid w:val="00FF2642"/>
    <w:rsid w:val="00FF2C60"/>
    <w:rsid w:val="01E62596"/>
    <w:rsid w:val="0271025F"/>
    <w:rsid w:val="047312F5"/>
    <w:rsid w:val="04EC1F8D"/>
    <w:rsid w:val="05D5575A"/>
    <w:rsid w:val="05EFAE10"/>
    <w:rsid w:val="07C95976"/>
    <w:rsid w:val="0A3C5CDA"/>
    <w:rsid w:val="0ABF192D"/>
    <w:rsid w:val="0BA1624D"/>
    <w:rsid w:val="0C0A05E6"/>
    <w:rsid w:val="0D22402E"/>
    <w:rsid w:val="0DCA1D26"/>
    <w:rsid w:val="0E3E11B1"/>
    <w:rsid w:val="0E876879"/>
    <w:rsid w:val="11233F63"/>
    <w:rsid w:val="125C1181"/>
    <w:rsid w:val="12EE6EB3"/>
    <w:rsid w:val="14D7E104"/>
    <w:rsid w:val="1671767F"/>
    <w:rsid w:val="17CC41DB"/>
    <w:rsid w:val="195A395E"/>
    <w:rsid w:val="19A23D0B"/>
    <w:rsid w:val="19BC582F"/>
    <w:rsid w:val="19FA533A"/>
    <w:rsid w:val="1A45357E"/>
    <w:rsid w:val="1AC219DF"/>
    <w:rsid w:val="1BCB00D3"/>
    <w:rsid w:val="1CA43724"/>
    <w:rsid w:val="1E7B5495"/>
    <w:rsid w:val="1EBB44EA"/>
    <w:rsid w:val="1FF070AA"/>
    <w:rsid w:val="20336624"/>
    <w:rsid w:val="21D2787E"/>
    <w:rsid w:val="22277366"/>
    <w:rsid w:val="23096270"/>
    <w:rsid w:val="23A60B0B"/>
    <w:rsid w:val="23D25A87"/>
    <w:rsid w:val="24F6274A"/>
    <w:rsid w:val="255A12BC"/>
    <w:rsid w:val="299E7FA3"/>
    <w:rsid w:val="2A267659"/>
    <w:rsid w:val="2A542E82"/>
    <w:rsid w:val="2CAB4FC3"/>
    <w:rsid w:val="2DD70157"/>
    <w:rsid w:val="2E4C650A"/>
    <w:rsid w:val="2EA86AE0"/>
    <w:rsid w:val="2F517B4D"/>
    <w:rsid w:val="2F8C0984"/>
    <w:rsid w:val="2FED0193"/>
    <w:rsid w:val="30B114A8"/>
    <w:rsid w:val="31765210"/>
    <w:rsid w:val="317B339E"/>
    <w:rsid w:val="352C7F5B"/>
    <w:rsid w:val="357E1E1F"/>
    <w:rsid w:val="367C523E"/>
    <w:rsid w:val="37D26FF1"/>
    <w:rsid w:val="3843339D"/>
    <w:rsid w:val="38BE45BF"/>
    <w:rsid w:val="393822C7"/>
    <w:rsid w:val="399C1EB6"/>
    <w:rsid w:val="39A27875"/>
    <w:rsid w:val="3A49394E"/>
    <w:rsid w:val="3C35186D"/>
    <w:rsid w:val="3DEF460B"/>
    <w:rsid w:val="3E09419D"/>
    <w:rsid w:val="3ED66533"/>
    <w:rsid w:val="3F9E2D9E"/>
    <w:rsid w:val="3FE1666E"/>
    <w:rsid w:val="41674CD0"/>
    <w:rsid w:val="43256114"/>
    <w:rsid w:val="43B411C6"/>
    <w:rsid w:val="45EB0535"/>
    <w:rsid w:val="463C4112"/>
    <w:rsid w:val="4693002F"/>
    <w:rsid w:val="47EB1FEA"/>
    <w:rsid w:val="488408F5"/>
    <w:rsid w:val="493C4BF6"/>
    <w:rsid w:val="497150FB"/>
    <w:rsid w:val="49724F5F"/>
    <w:rsid w:val="4A150892"/>
    <w:rsid w:val="4A43321E"/>
    <w:rsid w:val="4BB3556A"/>
    <w:rsid w:val="4C113A0D"/>
    <w:rsid w:val="4C2F9F14"/>
    <w:rsid w:val="4C5E7C6A"/>
    <w:rsid w:val="4D0A53C8"/>
    <w:rsid w:val="4E7047E9"/>
    <w:rsid w:val="4E981E9F"/>
    <w:rsid w:val="4F45101E"/>
    <w:rsid w:val="4F6D663F"/>
    <w:rsid w:val="4F8F150D"/>
    <w:rsid w:val="50A15794"/>
    <w:rsid w:val="51663748"/>
    <w:rsid w:val="52A621BD"/>
    <w:rsid w:val="5313343E"/>
    <w:rsid w:val="55307F64"/>
    <w:rsid w:val="56181785"/>
    <w:rsid w:val="56C73A54"/>
    <w:rsid w:val="57B530B3"/>
    <w:rsid w:val="57B63F91"/>
    <w:rsid w:val="57FF56B5"/>
    <w:rsid w:val="589C25AA"/>
    <w:rsid w:val="58A21BD3"/>
    <w:rsid w:val="59EF4314"/>
    <w:rsid w:val="5ABD4096"/>
    <w:rsid w:val="5B5F2133"/>
    <w:rsid w:val="5DA65795"/>
    <w:rsid w:val="5DDE552F"/>
    <w:rsid w:val="5DFB6C75"/>
    <w:rsid w:val="5EDF0946"/>
    <w:rsid w:val="5FFC4C55"/>
    <w:rsid w:val="61E8255E"/>
    <w:rsid w:val="62847371"/>
    <w:rsid w:val="62E2218B"/>
    <w:rsid w:val="65716EC9"/>
    <w:rsid w:val="66371609"/>
    <w:rsid w:val="66EB4010"/>
    <w:rsid w:val="68040C6D"/>
    <w:rsid w:val="69C35725"/>
    <w:rsid w:val="6ABE579F"/>
    <w:rsid w:val="6DB03E06"/>
    <w:rsid w:val="6DC692C0"/>
    <w:rsid w:val="6DFFC421"/>
    <w:rsid w:val="6F060857"/>
    <w:rsid w:val="6F1673D1"/>
    <w:rsid w:val="6F6F172A"/>
    <w:rsid w:val="6FB4149D"/>
    <w:rsid w:val="6FDD55EE"/>
    <w:rsid w:val="701945C6"/>
    <w:rsid w:val="703B3ADC"/>
    <w:rsid w:val="71047356"/>
    <w:rsid w:val="714B19C5"/>
    <w:rsid w:val="72630DA7"/>
    <w:rsid w:val="72A13895"/>
    <w:rsid w:val="72BE63CD"/>
    <w:rsid w:val="75676F61"/>
    <w:rsid w:val="75847B43"/>
    <w:rsid w:val="764D2997"/>
    <w:rsid w:val="790134B4"/>
    <w:rsid w:val="7AF8481F"/>
    <w:rsid w:val="7B194310"/>
    <w:rsid w:val="7BA04534"/>
    <w:rsid w:val="7CE469C6"/>
    <w:rsid w:val="7DCA3806"/>
    <w:rsid w:val="7F8C5FF1"/>
    <w:rsid w:val="9E7DD373"/>
    <w:rsid w:val="BEBF1A3C"/>
    <w:rsid w:val="D7B7D727"/>
    <w:rsid w:val="DF9D4F26"/>
    <w:rsid w:val="E4F9D0C2"/>
    <w:rsid w:val="F4AF78A9"/>
    <w:rsid w:val="FEA77B5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4">
    <w:name w:val="heading 1"/>
    <w:basedOn w:val="1"/>
    <w:next w:val="1"/>
    <w:link w:val="15"/>
    <w:qFormat/>
    <w:uiPriority w:val="0"/>
    <w:pPr>
      <w:keepNext/>
      <w:keepLines/>
      <w:spacing w:before="340" w:after="330" w:line="578" w:lineRule="auto"/>
      <w:outlineLvl w:val="0"/>
    </w:pPr>
    <w:rPr>
      <w:rFonts w:eastAsia="黑体"/>
      <w:b/>
      <w:bCs/>
      <w:kern w:val="44"/>
      <w:sz w:val="32"/>
      <w:szCs w:val="44"/>
    </w:rPr>
  </w:style>
  <w:style w:type="character" w:default="1" w:styleId="13">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2">
    <w:name w:val="Body Text First Indent"/>
    <w:basedOn w:val="3"/>
    <w:uiPriority w:val="0"/>
    <w:pPr>
      <w:ind w:firstLine="420" w:firstLineChars="100"/>
    </w:pPr>
  </w:style>
  <w:style w:type="paragraph" w:styleId="3">
    <w:name w:val="Body Text"/>
    <w:basedOn w:val="1"/>
    <w:uiPriority w:val="0"/>
    <w:pPr>
      <w:spacing w:after="120" w:afterLines="0" w:afterAutospacing="0"/>
    </w:pPr>
  </w:style>
  <w:style w:type="paragraph" w:styleId="5">
    <w:name w:val="Document Map"/>
    <w:basedOn w:val="1"/>
    <w:semiHidden/>
    <w:qFormat/>
    <w:uiPriority w:val="0"/>
    <w:pPr>
      <w:shd w:val="clear" w:color="auto" w:fill="000080"/>
    </w:pPr>
  </w:style>
  <w:style w:type="paragraph" w:styleId="6">
    <w:name w:val="annotation text"/>
    <w:basedOn w:val="1"/>
    <w:uiPriority w:val="0"/>
    <w:pPr>
      <w:jc w:val="left"/>
    </w:pPr>
  </w:style>
  <w:style w:type="paragraph" w:styleId="7">
    <w:name w:val="Balloon Text"/>
    <w:basedOn w:val="1"/>
    <w:link w:val="18"/>
    <w:qFormat/>
    <w:uiPriority w:val="0"/>
    <w:rPr>
      <w:sz w:val="18"/>
      <w:szCs w:val="18"/>
    </w:rPr>
  </w:style>
  <w:style w:type="paragraph" w:styleId="8">
    <w:name w:val="footer"/>
    <w:basedOn w:val="1"/>
    <w:link w:val="19"/>
    <w:qFormat/>
    <w:uiPriority w:val="99"/>
    <w:pPr>
      <w:tabs>
        <w:tab w:val="center" w:pos="4153"/>
        <w:tab w:val="right" w:pos="8306"/>
      </w:tabs>
      <w:snapToGrid w:val="0"/>
      <w:jc w:val="left"/>
    </w:pPr>
    <w:rPr>
      <w:rFonts w:eastAsia="宋体"/>
      <w:sz w:val="18"/>
      <w:szCs w:val="18"/>
    </w:rPr>
  </w:style>
  <w:style w:type="paragraph" w:styleId="9">
    <w:name w:val="header"/>
    <w:basedOn w:val="1"/>
    <w:link w:val="17"/>
    <w:qFormat/>
    <w:uiPriority w:val="0"/>
    <w:pPr>
      <w:pBdr>
        <w:bottom w:val="single" w:color="auto" w:sz="6" w:space="1"/>
      </w:pBdr>
      <w:tabs>
        <w:tab w:val="center" w:pos="4153"/>
        <w:tab w:val="right" w:pos="8306"/>
      </w:tabs>
      <w:snapToGrid w:val="0"/>
      <w:jc w:val="center"/>
    </w:pPr>
    <w:rPr>
      <w:rFonts w:eastAsia="宋体"/>
      <w:sz w:val="18"/>
      <w:szCs w:val="18"/>
    </w:rPr>
  </w:style>
  <w:style w:type="paragraph" w:styleId="10">
    <w:name w:val="Subtitle"/>
    <w:basedOn w:val="1"/>
    <w:next w:val="1"/>
    <w:link w:val="16"/>
    <w:qFormat/>
    <w:uiPriority w:val="0"/>
    <w:pPr>
      <w:spacing w:before="240" w:after="60" w:line="312" w:lineRule="auto"/>
      <w:outlineLvl w:val="1"/>
    </w:pPr>
    <w:rPr>
      <w:rFonts w:ascii="Cambria" w:hAnsi="Cambria" w:eastAsia="楷体_GB2312" w:cs="Times New Roman"/>
      <w:b/>
      <w:bCs/>
      <w:kern w:val="28"/>
      <w:sz w:val="32"/>
      <w:szCs w:val="32"/>
    </w:rPr>
  </w:style>
  <w:style w:type="table" w:styleId="12">
    <w:name w:val="Table Grid"/>
    <w:qFormat/>
    <w:uiPriority w:val="0"/>
    <w:pPr>
      <w:widowControl w:val="0"/>
      <w:jc w:val="both"/>
    </w:pPr>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4">
    <w:name w:val="样式1"/>
    <w:basedOn w:val="1"/>
    <w:qFormat/>
    <w:uiPriority w:val="0"/>
    <w:rPr>
      <w:rFonts w:ascii="仿宋_GB2312" w:eastAsia="仿宋_GB2312"/>
      <w:sz w:val="28"/>
    </w:rPr>
  </w:style>
  <w:style w:type="character" w:customStyle="1" w:styleId="15">
    <w:name w:val="标题 1 Char"/>
    <w:link w:val="4"/>
    <w:qFormat/>
    <w:uiPriority w:val="0"/>
    <w:rPr>
      <w:rFonts w:eastAsia="黑体"/>
      <w:b/>
      <w:bCs/>
      <w:kern w:val="44"/>
      <w:sz w:val="32"/>
      <w:szCs w:val="44"/>
    </w:rPr>
  </w:style>
  <w:style w:type="character" w:customStyle="1" w:styleId="16">
    <w:name w:val="副标题 Char"/>
    <w:link w:val="10"/>
    <w:qFormat/>
    <w:uiPriority w:val="0"/>
    <w:rPr>
      <w:rFonts w:ascii="Cambria" w:hAnsi="Cambria" w:eastAsia="楷体_GB2312"/>
      <w:b/>
      <w:bCs/>
      <w:kern w:val="28"/>
      <w:sz w:val="32"/>
      <w:szCs w:val="32"/>
    </w:rPr>
  </w:style>
  <w:style w:type="character" w:customStyle="1" w:styleId="17">
    <w:name w:val="页眉 Char"/>
    <w:link w:val="9"/>
    <w:qFormat/>
    <w:uiPriority w:val="0"/>
    <w:rPr>
      <w:kern w:val="2"/>
      <w:sz w:val="18"/>
      <w:szCs w:val="18"/>
    </w:rPr>
  </w:style>
  <w:style w:type="character" w:customStyle="1" w:styleId="18">
    <w:name w:val="批注框文本 Char"/>
    <w:link w:val="7"/>
    <w:qFormat/>
    <w:uiPriority w:val="0"/>
    <w:rPr>
      <w:rFonts w:eastAsia="仿宋_GB2312"/>
      <w:kern w:val="2"/>
      <w:sz w:val="18"/>
      <w:szCs w:val="18"/>
    </w:rPr>
  </w:style>
  <w:style w:type="character" w:customStyle="1" w:styleId="19">
    <w:name w:val="页脚 Char"/>
    <w:link w:val="8"/>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footer" Target="footer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Powerise</Company>
  <Pages>116</Pages>
  <Words>67523</Words>
  <Characters>70224</Characters>
  <Lines>17556</Lines>
  <Paragraphs>9839</Paragraphs>
  <TotalTime>6</TotalTime>
  <ScaleCrop>false</ScaleCrop>
  <LinksUpToDate>false</LinksUpToDate>
  <CharactersWithSpaces>127908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2013-07-10T06:15:00Z</dcterms:created>
  <dc:creator>vv</dc:creator>
  <cp:lastModifiedBy>赵士雄</cp:lastModifiedBy>
  <cp:lastPrinted>2021-03-20T05:38:00Z</cp:lastPrinted>
  <dcterms:modified xsi:type="dcterms:W3CDTF">2021-09-21T08:04:09Z</dcterms:modified>
  <dc:title>国家卫生健康委员会办公厅文件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53A5B5C2AB1F451FA8239B6B723F4498</vt:lpwstr>
  </property>
</Properties>
</file>